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EF69B" w14:textId="5F42A911" w:rsidR="00C92359" w:rsidRPr="00C92359" w:rsidRDefault="006A48D3" w:rsidP="00C92359">
      <w:pPr>
        <w:widowControl w:val="0"/>
        <w:tabs>
          <w:tab w:val="left" w:pos="1701"/>
          <w:tab w:val="right" w:pos="9923"/>
        </w:tabs>
        <w:spacing w:before="120" w:after="0"/>
        <w:jc w:val="left"/>
        <w:rPr>
          <w:rFonts w:eastAsia="MS Mincho"/>
          <w:b/>
          <w:sz w:val="24"/>
          <w:szCs w:val="24"/>
          <w:lang w:val="en-GB" w:eastAsia="x-none"/>
        </w:rPr>
      </w:pPr>
      <w:bookmarkStart w:id="0" w:name="_GoBack"/>
      <w:bookmarkEnd w:id="0"/>
      <w:r>
        <w:rPr>
          <w:rFonts w:eastAsia="MS Mincho"/>
          <w:b/>
          <w:sz w:val="24"/>
          <w:szCs w:val="24"/>
          <w:lang w:val="en-GB" w:eastAsia="x-none"/>
        </w:rPr>
        <w:t>3GPP TSG-RAN WG3</w:t>
      </w:r>
      <w:r w:rsidR="00C92359" w:rsidRPr="00C92359">
        <w:rPr>
          <w:rFonts w:eastAsia="MS Mincho"/>
          <w:b/>
          <w:sz w:val="24"/>
          <w:szCs w:val="24"/>
          <w:lang w:val="en-GB" w:eastAsia="x-none"/>
        </w:rPr>
        <w:t xml:space="preserve"> Meeting #1</w:t>
      </w:r>
      <w:r w:rsidR="003A5288">
        <w:rPr>
          <w:rFonts w:eastAsia="MS Mincho"/>
          <w:b/>
          <w:sz w:val="24"/>
          <w:szCs w:val="24"/>
          <w:lang w:val="en-GB" w:eastAsia="x-none"/>
        </w:rPr>
        <w:t>10</w:t>
      </w:r>
      <w:r w:rsidR="00CC371F">
        <w:rPr>
          <w:rFonts w:eastAsia="MS Mincho"/>
          <w:b/>
          <w:sz w:val="24"/>
          <w:szCs w:val="24"/>
          <w:lang w:val="en-GB" w:eastAsia="x-none"/>
        </w:rPr>
        <w:t>-e</w:t>
      </w:r>
      <w:r w:rsidR="00C92359" w:rsidRPr="00C92359">
        <w:rPr>
          <w:rFonts w:eastAsia="MS Mincho"/>
          <w:b/>
          <w:sz w:val="24"/>
          <w:szCs w:val="24"/>
          <w:lang w:val="en-GB" w:eastAsia="x-none"/>
        </w:rPr>
        <w:tab/>
      </w:r>
      <w:r w:rsidR="00315566" w:rsidRPr="00315566">
        <w:rPr>
          <w:rFonts w:eastAsia="MS Mincho"/>
          <w:b/>
          <w:sz w:val="24"/>
          <w:szCs w:val="24"/>
          <w:lang w:val="en-GB" w:eastAsia="x-none"/>
        </w:rPr>
        <w:t>R3-</w:t>
      </w:r>
      <w:r w:rsidR="007C7CF2" w:rsidRPr="007C7CF2">
        <w:t xml:space="preserve"> </w:t>
      </w:r>
      <w:r w:rsidR="007C7CF2" w:rsidRPr="007C7CF2">
        <w:rPr>
          <w:rFonts w:eastAsia="MS Mincho"/>
          <w:b/>
          <w:sz w:val="24"/>
          <w:szCs w:val="24"/>
          <w:lang w:val="en-GB" w:eastAsia="x-none"/>
        </w:rPr>
        <w:t>206332</w:t>
      </w:r>
    </w:p>
    <w:p w14:paraId="3A5784F5" w14:textId="17AB77C5" w:rsidR="00C92359" w:rsidRPr="00C92359" w:rsidRDefault="00FC56D8" w:rsidP="00C92359">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Online</w:t>
      </w:r>
      <w:r w:rsidR="00CC371F">
        <w:rPr>
          <w:rFonts w:eastAsia="MS Mincho"/>
          <w:b/>
          <w:sz w:val="24"/>
          <w:szCs w:val="24"/>
          <w:lang w:val="en-GB" w:eastAsia="x-none"/>
        </w:rPr>
        <w:t xml:space="preserve">, </w:t>
      </w:r>
      <w:r w:rsidR="00545D5A">
        <w:rPr>
          <w:rFonts w:eastAsia="MS Mincho"/>
          <w:b/>
          <w:sz w:val="24"/>
          <w:szCs w:val="24"/>
          <w:lang w:val="en-GB" w:eastAsia="x-none"/>
        </w:rPr>
        <w:t>2</w:t>
      </w:r>
      <w:r w:rsidR="00545D5A" w:rsidRPr="00545D5A">
        <w:rPr>
          <w:rFonts w:eastAsia="MS Mincho"/>
          <w:b/>
          <w:sz w:val="24"/>
          <w:szCs w:val="24"/>
          <w:vertAlign w:val="superscript"/>
          <w:lang w:val="en-GB" w:eastAsia="x-none"/>
        </w:rPr>
        <w:t>nd</w:t>
      </w:r>
      <w:r w:rsidR="0008364D">
        <w:rPr>
          <w:rFonts w:eastAsia="MS Mincho"/>
          <w:b/>
          <w:sz w:val="24"/>
          <w:szCs w:val="24"/>
          <w:lang w:val="en-GB" w:eastAsia="x-none"/>
        </w:rPr>
        <w:t>–</w:t>
      </w:r>
      <w:r w:rsidR="00545D5A">
        <w:rPr>
          <w:rFonts w:eastAsia="MS Mincho"/>
          <w:b/>
          <w:sz w:val="24"/>
          <w:szCs w:val="24"/>
          <w:lang w:val="en-GB" w:eastAsia="x-none"/>
        </w:rPr>
        <w:t>12</w:t>
      </w:r>
      <w:r w:rsidR="00CC371F" w:rsidRPr="00CC371F">
        <w:rPr>
          <w:rFonts w:eastAsia="MS Mincho"/>
          <w:b/>
          <w:sz w:val="24"/>
          <w:szCs w:val="24"/>
          <w:vertAlign w:val="superscript"/>
          <w:lang w:val="en-GB" w:eastAsia="x-none"/>
        </w:rPr>
        <w:t>th</w:t>
      </w:r>
      <w:r w:rsidR="00CC371F">
        <w:rPr>
          <w:rFonts w:eastAsia="MS Mincho"/>
          <w:b/>
          <w:sz w:val="24"/>
          <w:szCs w:val="24"/>
          <w:lang w:val="en-GB" w:eastAsia="x-none"/>
        </w:rPr>
        <w:t xml:space="preserve"> </w:t>
      </w:r>
      <w:r w:rsidR="00545D5A">
        <w:rPr>
          <w:rFonts w:eastAsia="MS Mincho"/>
          <w:b/>
          <w:sz w:val="24"/>
          <w:szCs w:val="24"/>
          <w:lang w:val="en-GB" w:eastAsia="x-none"/>
        </w:rPr>
        <w:t>November</w:t>
      </w:r>
      <w:r w:rsidR="00CC371F">
        <w:rPr>
          <w:rFonts w:eastAsia="MS Mincho"/>
          <w:b/>
          <w:sz w:val="24"/>
          <w:szCs w:val="24"/>
          <w:lang w:val="en-GB" w:eastAsia="x-none"/>
        </w:rPr>
        <w:t xml:space="preserve"> 2020</w:t>
      </w:r>
    </w:p>
    <w:p w14:paraId="4A946D04" w14:textId="77777777" w:rsidR="005F705D" w:rsidRPr="005D2C51" w:rsidRDefault="005F705D" w:rsidP="005F705D">
      <w:pPr>
        <w:tabs>
          <w:tab w:val="left" w:pos="567"/>
        </w:tabs>
        <w:rPr>
          <w:rStyle w:val="apple-style-span"/>
          <w:rFonts w:cs="Arial"/>
          <w:sz w:val="16"/>
          <w:szCs w:val="16"/>
        </w:rPr>
      </w:pPr>
    </w:p>
    <w:p w14:paraId="3B270D44" w14:textId="43493AA5"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1" w:name="Source"/>
      <w:bookmarkEnd w:id="1"/>
      <w:r w:rsidR="006A48D3">
        <w:rPr>
          <w:b/>
          <w:sz w:val="24"/>
          <w:szCs w:val="24"/>
        </w:rPr>
        <w:t>13.</w:t>
      </w:r>
      <w:r w:rsidR="003A5288">
        <w:rPr>
          <w:b/>
          <w:sz w:val="24"/>
          <w:szCs w:val="24"/>
        </w:rPr>
        <w:t>2</w:t>
      </w:r>
      <w:r w:rsidR="00974F3E">
        <w:rPr>
          <w:b/>
          <w:sz w:val="24"/>
          <w:szCs w:val="24"/>
        </w:rPr>
        <w:t>.</w:t>
      </w:r>
      <w:r w:rsidR="006A48D3">
        <w:rPr>
          <w:b/>
          <w:sz w:val="24"/>
          <w:szCs w:val="24"/>
        </w:rPr>
        <w:t>1</w:t>
      </w:r>
    </w:p>
    <w:p w14:paraId="6434C93C"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5818F357" w14:textId="548B8B9A" w:rsidR="00745452" w:rsidRDefault="0060603E" w:rsidP="006F09F0">
      <w:pPr>
        <w:ind w:left="1800" w:hanging="1800"/>
        <w:jc w:val="left"/>
        <w:rPr>
          <w:b/>
          <w:sz w:val="24"/>
          <w:szCs w:val="24"/>
        </w:rPr>
      </w:pPr>
      <w:r w:rsidRPr="00212204">
        <w:rPr>
          <w:b/>
          <w:sz w:val="24"/>
          <w:szCs w:val="24"/>
        </w:rPr>
        <w:t>Title:</w:t>
      </w:r>
      <w:r w:rsidR="002D479B" w:rsidRPr="005F705D">
        <w:rPr>
          <w:b/>
          <w:sz w:val="24"/>
          <w:szCs w:val="24"/>
        </w:rPr>
        <w:tab/>
      </w:r>
      <w:r w:rsidR="003A5288" w:rsidRPr="003A5288">
        <w:rPr>
          <w:b/>
          <w:sz w:val="24"/>
          <w:szCs w:val="24"/>
        </w:rPr>
        <w:t xml:space="preserve">Principles of </w:t>
      </w:r>
      <w:r w:rsidR="003A5288">
        <w:rPr>
          <w:b/>
          <w:sz w:val="24"/>
          <w:szCs w:val="24"/>
        </w:rPr>
        <w:t>G</w:t>
      </w:r>
      <w:r w:rsidR="003A5288" w:rsidRPr="003A5288">
        <w:rPr>
          <w:b/>
          <w:sz w:val="24"/>
          <w:szCs w:val="24"/>
        </w:rPr>
        <w:t xml:space="preserve">roup </w:t>
      </w:r>
      <w:r w:rsidR="003A5288">
        <w:rPr>
          <w:b/>
          <w:sz w:val="24"/>
          <w:szCs w:val="24"/>
        </w:rPr>
        <w:t>M</w:t>
      </w:r>
      <w:r w:rsidR="003A5288" w:rsidRPr="003A5288">
        <w:rPr>
          <w:b/>
          <w:sz w:val="24"/>
          <w:szCs w:val="24"/>
        </w:rPr>
        <w:t xml:space="preserve">obility for </w:t>
      </w:r>
      <w:r w:rsidR="003A5288">
        <w:rPr>
          <w:b/>
          <w:sz w:val="24"/>
          <w:szCs w:val="24"/>
        </w:rPr>
        <w:t>I</w:t>
      </w:r>
      <w:r w:rsidR="003A5288" w:rsidRPr="003A5288">
        <w:rPr>
          <w:b/>
          <w:sz w:val="24"/>
          <w:szCs w:val="24"/>
        </w:rPr>
        <w:t>nter-donor IAB</w:t>
      </w:r>
      <w:r w:rsidR="003A5288">
        <w:rPr>
          <w:b/>
          <w:sz w:val="24"/>
          <w:szCs w:val="24"/>
        </w:rPr>
        <w:t>-</w:t>
      </w:r>
      <w:r w:rsidR="003A5288" w:rsidRPr="003A5288">
        <w:rPr>
          <w:b/>
          <w:sz w:val="24"/>
          <w:szCs w:val="24"/>
        </w:rPr>
        <w:t xml:space="preserve">node </w:t>
      </w:r>
      <w:r w:rsidR="003A5288">
        <w:rPr>
          <w:b/>
          <w:sz w:val="24"/>
          <w:szCs w:val="24"/>
        </w:rPr>
        <w:t>M</w:t>
      </w:r>
      <w:r w:rsidR="003A5288" w:rsidRPr="003A5288">
        <w:rPr>
          <w:b/>
          <w:sz w:val="24"/>
          <w:szCs w:val="24"/>
        </w:rPr>
        <w:t>igration</w:t>
      </w:r>
    </w:p>
    <w:p w14:paraId="503C23B3" w14:textId="77777777"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2E3274BA"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60B4D038" w14:textId="719415F4" w:rsidR="003A2CF2" w:rsidRDefault="00BD7E46" w:rsidP="00F53ECE">
      <w:pPr>
        <w:spacing w:after="240"/>
        <w:rPr>
          <w:rFonts w:asciiTheme="minorHAnsi" w:hAnsiTheme="minorHAnsi"/>
          <w:lang w:val="en-GB"/>
        </w:rPr>
      </w:pPr>
      <w:r>
        <w:rPr>
          <w:rFonts w:asciiTheme="minorHAnsi" w:hAnsiTheme="minorHAnsi"/>
          <w:lang w:val="en-GB"/>
        </w:rPr>
        <w:t>The Release 17 WID on IAB enhancements [1] defines</w:t>
      </w:r>
      <w:r w:rsidR="00027A39">
        <w:rPr>
          <w:rFonts w:asciiTheme="minorHAnsi" w:hAnsiTheme="minorHAnsi"/>
          <w:lang w:val="en-GB"/>
        </w:rPr>
        <w:t xml:space="preserve"> the following objective</w:t>
      </w:r>
      <w:r w:rsidR="00FA2700">
        <w:rPr>
          <w:rFonts w:asciiTheme="minorHAnsi" w:hAnsiTheme="minorHAnsi"/>
          <w:lang w:val="en-GB"/>
        </w:rPr>
        <w:t>s</w:t>
      </w:r>
      <w:r w:rsidR="00027A39">
        <w:rPr>
          <w:rFonts w:asciiTheme="minorHAnsi" w:hAnsiTheme="minorHAnsi"/>
          <w:lang w:val="en-GB"/>
        </w:rPr>
        <w:t xml:space="preserve"> related to topology </w:t>
      </w:r>
      <w:r w:rsidR="00F27804">
        <w:rPr>
          <w:rFonts w:asciiTheme="minorHAnsi" w:hAnsiTheme="minorHAnsi"/>
          <w:lang w:val="en-GB"/>
        </w:rPr>
        <w:t xml:space="preserve">adaptation </w:t>
      </w:r>
      <w:r w:rsidR="00027A39">
        <w:rPr>
          <w:rFonts w:asciiTheme="minorHAnsi" w:hAnsiTheme="minorHAnsi"/>
          <w:lang w:val="en-GB"/>
        </w:rPr>
        <w:t>enhancements:</w:t>
      </w:r>
    </w:p>
    <w:tbl>
      <w:tblPr>
        <w:tblStyle w:val="TableGrid"/>
        <w:tblW w:w="0" w:type="auto"/>
        <w:tblLook w:val="04A0" w:firstRow="1" w:lastRow="0" w:firstColumn="1" w:lastColumn="0" w:noHBand="0" w:noVBand="1"/>
      </w:tblPr>
      <w:tblGrid>
        <w:gridCol w:w="10070"/>
      </w:tblGrid>
      <w:tr w:rsidR="00BD7E46" w14:paraId="6F94A2A4" w14:textId="77777777" w:rsidTr="00BD7E46">
        <w:tc>
          <w:tcPr>
            <w:tcW w:w="10070" w:type="dxa"/>
          </w:tcPr>
          <w:p w14:paraId="03EAF1F7" w14:textId="77777777" w:rsidR="00F27804" w:rsidRPr="00F27804" w:rsidRDefault="00F27804" w:rsidP="00F27804">
            <w:pPr>
              <w:rPr>
                <w:rFonts w:ascii="Times New Roman" w:hAnsi="Times New Roman"/>
                <w:bCs/>
              </w:rPr>
            </w:pPr>
            <w:r w:rsidRPr="00F27804">
              <w:rPr>
                <w:rFonts w:ascii="Times New Roman" w:hAnsi="Times New Roman"/>
                <w:bCs/>
              </w:rPr>
              <w:t>Topology adaptation enhancements [RAN3-led, RAN2]:</w:t>
            </w:r>
          </w:p>
          <w:p w14:paraId="67513418" w14:textId="77777777" w:rsidR="00F27804" w:rsidRPr="00F27804" w:rsidRDefault="00F27804" w:rsidP="00F27804">
            <w:pPr>
              <w:numPr>
                <w:ilvl w:val="0"/>
                <w:numId w:val="28"/>
              </w:numPr>
              <w:autoSpaceDN w:val="0"/>
              <w:spacing w:before="0" w:after="60"/>
              <w:jc w:val="left"/>
              <w:rPr>
                <w:rFonts w:ascii="Times New Roman" w:hAnsi="Times New Roman"/>
              </w:rPr>
            </w:pPr>
            <w:r w:rsidRPr="00F27804">
              <w:rPr>
                <w:rFonts w:ascii="Times New Roman" w:hAnsi="Times New Roman"/>
              </w:rPr>
              <w:t xml:space="preserve">Specification of procedures for inter-donor IAB-node migration to enhance robustness and load-balancing, including enhancements to reduce </w:t>
            </w:r>
            <w:proofErr w:type="spellStart"/>
            <w:r w:rsidRPr="00F27804">
              <w:rPr>
                <w:rFonts w:ascii="Times New Roman" w:hAnsi="Times New Roman"/>
              </w:rPr>
              <w:t>signalling</w:t>
            </w:r>
            <w:proofErr w:type="spellEnd"/>
            <w:r w:rsidRPr="00F27804">
              <w:rPr>
                <w:rFonts w:ascii="Times New Roman" w:hAnsi="Times New Roman"/>
              </w:rPr>
              <w:t xml:space="preserve"> load.   </w:t>
            </w:r>
          </w:p>
          <w:p w14:paraId="314872BB" w14:textId="77777777" w:rsidR="00F27804" w:rsidRPr="00F27804" w:rsidRDefault="00F27804" w:rsidP="00F27804">
            <w:pPr>
              <w:numPr>
                <w:ilvl w:val="0"/>
                <w:numId w:val="28"/>
              </w:numPr>
              <w:autoSpaceDN w:val="0"/>
              <w:spacing w:before="0" w:after="60"/>
              <w:jc w:val="left"/>
              <w:rPr>
                <w:rFonts w:ascii="Times New Roman" w:hAnsi="Times New Roman"/>
              </w:rPr>
            </w:pPr>
            <w:r w:rsidRPr="00F27804">
              <w:rPr>
                <w:rFonts w:ascii="Times New Roman" w:hAnsi="Times New Roman"/>
              </w:rPr>
              <w:t>Specification of enhancements to reduce service interruption due to IAB-node migration and BH RLF recovery.</w:t>
            </w:r>
          </w:p>
          <w:p w14:paraId="14006E50" w14:textId="7F651F0A" w:rsidR="00BD7E46" w:rsidRPr="00F27804" w:rsidRDefault="00F27804" w:rsidP="00F27804">
            <w:pPr>
              <w:numPr>
                <w:ilvl w:val="0"/>
                <w:numId w:val="28"/>
              </w:numPr>
              <w:autoSpaceDN w:val="0"/>
              <w:spacing w:before="0" w:after="60"/>
              <w:jc w:val="left"/>
              <w:rPr>
                <w:rFonts w:ascii="Times New Roman" w:hAnsi="Times New Roman"/>
              </w:rPr>
            </w:pPr>
            <w:r w:rsidRPr="00F27804">
              <w:rPr>
                <w:rFonts w:ascii="Times New Roman" w:hAnsi="Times New Roman"/>
              </w:rPr>
              <w:t>Specification of enhancements to topological redundancy, including support of CP/UP separation.</w:t>
            </w:r>
          </w:p>
        </w:tc>
      </w:tr>
    </w:tbl>
    <w:p w14:paraId="505A0002" w14:textId="2B8B340C" w:rsidR="00AD7A71" w:rsidRDefault="00027A39" w:rsidP="007E0AED">
      <w:pPr>
        <w:spacing w:before="240" w:after="360"/>
        <w:rPr>
          <w:rFonts w:ascii="Calibri" w:eastAsia="Malgun Gothic" w:hAnsi="Calibri" w:cs="Batang"/>
          <w:lang w:val="en-GB" w:eastAsia="ko-KR"/>
        </w:rPr>
      </w:pPr>
      <w:r>
        <w:rPr>
          <w:rFonts w:ascii="Calibri" w:eastAsia="Malgun Gothic" w:hAnsi="Calibri" w:cs="Batang"/>
          <w:lang w:val="en-GB" w:eastAsia="ko-KR"/>
        </w:rPr>
        <w:t>Specifically, one aspect of the above objective</w:t>
      </w:r>
      <w:r w:rsidR="00FA2700">
        <w:rPr>
          <w:rFonts w:ascii="Calibri" w:eastAsia="Malgun Gothic" w:hAnsi="Calibri" w:cs="Batang"/>
          <w:lang w:val="en-GB" w:eastAsia="ko-KR"/>
        </w:rPr>
        <w:t>s</w:t>
      </w:r>
      <w:r>
        <w:rPr>
          <w:rFonts w:ascii="Calibri" w:eastAsia="Malgun Gothic" w:hAnsi="Calibri" w:cs="Batang"/>
          <w:lang w:val="en-GB" w:eastAsia="ko-KR"/>
        </w:rPr>
        <w:t xml:space="preserve"> refers to </w:t>
      </w:r>
      <w:r w:rsidR="00A7287B">
        <w:rPr>
          <w:rFonts w:ascii="Calibri" w:eastAsia="Malgun Gothic" w:hAnsi="Calibri" w:cs="Batang"/>
          <w:lang w:val="en-GB" w:eastAsia="ko-KR"/>
        </w:rPr>
        <w:t xml:space="preserve">enhancements to reduce signalling load in the context of IAB-node migration. </w:t>
      </w:r>
      <w:r w:rsidR="00AD7A71">
        <w:rPr>
          <w:rFonts w:ascii="Calibri" w:eastAsia="Malgun Gothic" w:hAnsi="Calibri" w:cs="Batang"/>
          <w:lang w:val="en-GB" w:eastAsia="ko-KR"/>
        </w:rPr>
        <w:t xml:space="preserve">In this contribution we explore </w:t>
      </w:r>
      <w:r w:rsidR="00C11DC0">
        <w:rPr>
          <w:rFonts w:ascii="Calibri" w:eastAsia="Malgun Gothic" w:hAnsi="Calibri" w:cs="Batang"/>
          <w:lang w:val="en-GB" w:eastAsia="ko-KR"/>
        </w:rPr>
        <w:t>signalling load issues emerging from</w:t>
      </w:r>
      <w:r w:rsidR="00AD7A71">
        <w:rPr>
          <w:rFonts w:ascii="Calibri" w:eastAsia="Malgun Gothic" w:hAnsi="Calibri" w:cs="Batang"/>
          <w:lang w:val="en-GB" w:eastAsia="ko-KR"/>
        </w:rPr>
        <w:t xml:space="preserve"> using baseline signalling procedures for migration of large number of UEs and IAB-MTs when an IAB-node migrates from one IAB-donor node to a different IAB-donor node. In past discussions</w:t>
      </w:r>
      <w:r w:rsidR="00C11DC0">
        <w:rPr>
          <w:rFonts w:ascii="Calibri" w:eastAsia="Malgun Gothic" w:hAnsi="Calibri" w:cs="Batang"/>
          <w:lang w:val="en-GB" w:eastAsia="ko-KR"/>
        </w:rPr>
        <w:t xml:space="preserve"> [</w:t>
      </w:r>
      <w:r w:rsidR="00FB4A6D">
        <w:rPr>
          <w:rFonts w:ascii="Calibri" w:eastAsia="Malgun Gothic" w:hAnsi="Calibri" w:cs="Batang"/>
          <w:lang w:val="en-GB" w:eastAsia="ko-KR"/>
        </w:rPr>
        <w:t>2</w:t>
      </w:r>
      <w:r w:rsidR="00C11DC0">
        <w:rPr>
          <w:rFonts w:ascii="Calibri" w:eastAsia="Malgun Gothic" w:hAnsi="Calibri" w:cs="Batang"/>
          <w:lang w:val="en-GB" w:eastAsia="ko-KR"/>
        </w:rPr>
        <w:t>]</w:t>
      </w:r>
      <w:r w:rsidR="00AD7A71">
        <w:rPr>
          <w:rFonts w:ascii="Calibri" w:eastAsia="Malgun Gothic" w:hAnsi="Calibri" w:cs="Batang"/>
          <w:lang w:val="en-GB" w:eastAsia="ko-KR"/>
        </w:rPr>
        <w:t>, group mobility procedures have been suggested as a way to overcome some of the signalling issues related to inter-donor IAB-node migration. However, the discussion on this topic has not reached the level of detail needed to fully address all the issues or provide sufficiently developed solutions</w:t>
      </w:r>
      <w:r w:rsidR="00C11DC0">
        <w:rPr>
          <w:rFonts w:ascii="Calibri" w:eastAsia="Malgun Gothic" w:hAnsi="Calibri" w:cs="Batang"/>
          <w:lang w:val="en-GB" w:eastAsia="ko-KR"/>
        </w:rPr>
        <w:t xml:space="preserve"> [</w:t>
      </w:r>
      <w:r w:rsidR="00FB4A6D">
        <w:rPr>
          <w:rFonts w:ascii="Calibri" w:eastAsia="Malgun Gothic" w:hAnsi="Calibri" w:cs="Batang"/>
          <w:lang w:val="en-GB" w:eastAsia="ko-KR"/>
        </w:rPr>
        <w:t>3</w:t>
      </w:r>
      <w:r w:rsidR="00C11DC0">
        <w:rPr>
          <w:rFonts w:ascii="Calibri" w:eastAsia="Malgun Gothic" w:hAnsi="Calibri" w:cs="Batang"/>
          <w:lang w:val="en-GB" w:eastAsia="ko-KR"/>
        </w:rPr>
        <w:t>]</w:t>
      </w:r>
      <w:r w:rsidR="00AD7A71">
        <w:rPr>
          <w:rFonts w:ascii="Calibri" w:eastAsia="Malgun Gothic" w:hAnsi="Calibri" w:cs="Batang"/>
          <w:lang w:val="en-GB" w:eastAsia="ko-KR"/>
        </w:rPr>
        <w:t xml:space="preserve">. In order to </w:t>
      </w:r>
      <w:r w:rsidR="00C11DC0">
        <w:rPr>
          <w:rFonts w:ascii="Calibri" w:eastAsia="Malgun Gothic" w:hAnsi="Calibri" w:cs="Batang"/>
          <w:lang w:val="en-GB" w:eastAsia="ko-KR"/>
        </w:rPr>
        <w:t>make progress</w:t>
      </w:r>
      <w:r w:rsidR="00AD7A71">
        <w:rPr>
          <w:rFonts w:ascii="Calibri" w:eastAsia="Malgun Gothic" w:hAnsi="Calibri" w:cs="Batang"/>
          <w:lang w:val="en-GB" w:eastAsia="ko-KR"/>
        </w:rPr>
        <w:t>, in this contribution we provide some principles that we believe should be followed when designing group mobility procedures for inter-donor IAB-node migration to reduce signalling load.</w:t>
      </w:r>
    </w:p>
    <w:p w14:paraId="088687BC" w14:textId="3538EEA9" w:rsidR="004A7002" w:rsidRDefault="00EB53F6"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 xml:space="preserve">Principles of </w:t>
      </w:r>
      <w:r w:rsidR="00AD7A71">
        <w:t>Inter-donor IAB-node migration</w:t>
      </w:r>
    </w:p>
    <w:p w14:paraId="6D5E65BC" w14:textId="6D07FD03" w:rsidR="000470F3" w:rsidRDefault="00EB53F6" w:rsidP="000470F3">
      <w:pPr>
        <w:pStyle w:val="Heading2"/>
        <w:rPr>
          <w:rFonts w:eastAsia="Malgun Gothic"/>
          <w:lang w:val="en-GB" w:eastAsia="ko-KR"/>
        </w:rPr>
      </w:pPr>
      <w:r>
        <w:rPr>
          <w:rFonts w:eastAsia="Malgun Gothic"/>
          <w:lang w:val="en-GB" w:eastAsia="ko-KR"/>
        </w:rPr>
        <w:t>Regarding c</w:t>
      </w:r>
      <w:r w:rsidR="000470F3">
        <w:rPr>
          <w:rFonts w:eastAsia="Malgun Gothic"/>
          <w:lang w:val="en-GB" w:eastAsia="ko-KR"/>
        </w:rPr>
        <w:t>urrent signalling procedures as baseline</w:t>
      </w:r>
    </w:p>
    <w:p w14:paraId="0931775A" w14:textId="43108F83" w:rsidR="00AD7A71" w:rsidRDefault="00C11DC0" w:rsidP="00AD7A71">
      <w:pPr>
        <w:spacing w:before="240" w:after="240"/>
        <w:rPr>
          <w:rFonts w:ascii="Calibri" w:eastAsia="Malgun Gothic" w:hAnsi="Calibri" w:cs="Batang"/>
          <w:lang w:val="en-GB" w:eastAsia="ko-KR"/>
        </w:rPr>
      </w:pPr>
      <w:r>
        <w:rPr>
          <w:rFonts w:ascii="Calibri" w:eastAsia="Malgun Gothic" w:hAnsi="Calibri" w:cs="Batang"/>
          <w:lang w:val="en-GB" w:eastAsia="ko-KR"/>
        </w:rPr>
        <w:t>During the RAN3#109-e meeting, it was agreed that for inter-donor migration of UEs and IAB-MTs, current signalling is taken as baseline, with a common understanding that reduction of associated signalling load shall be considered.</w:t>
      </w:r>
    </w:p>
    <w:tbl>
      <w:tblPr>
        <w:tblStyle w:val="TableGrid"/>
        <w:tblW w:w="0" w:type="auto"/>
        <w:tblLook w:val="04A0" w:firstRow="1" w:lastRow="0" w:firstColumn="1" w:lastColumn="0" w:noHBand="0" w:noVBand="1"/>
      </w:tblPr>
      <w:tblGrid>
        <w:gridCol w:w="10070"/>
      </w:tblGrid>
      <w:tr w:rsidR="00C11DC0" w14:paraId="11CE2F32" w14:textId="77777777" w:rsidTr="00C11DC0">
        <w:tc>
          <w:tcPr>
            <w:tcW w:w="10070" w:type="dxa"/>
          </w:tcPr>
          <w:p w14:paraId="05DA2292" w14:textId="77777777" w:rsidR="00C11DC0" w:rsidRDefault="00C11DC0" w:rsidP="00C11DC0">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Current signaling is taken as baseline for inter-donor migration of UEs and IAB-MTs</w:t>
            </w:r>
          </w:p>
          <w:p w14:paraId="494C5E65" w14:textId="00CEA7D5" w:rsidR="00C11DC0" w:rsidRPr="00C11DC0" w:rsidRDefault="00C11DC0" w:rsidP="00C11DC0">
            <w:pPr>
              <w:widowControl w:val="0"/>
              <w:ind w:left="144" w:hanging="144"/>
              <w:rPr>
                <w:rFonts w:ascii="Calibri" w:hAnsi="Calibri" w:cs="Calibri"/>
                <w:b/>
                <w:bCs/>
                <w:sz w:val="18"/>
                <w:szCs w:val="24"/>
              </w:rPr>
            </w:pPr>
            <w:r>
              <w:rPr>
                <w:rFonts w:ascii="Calibri" w:hAnsi="Calibri" w:cs="Calibri"/>
                <w:b/>
                <w:bCs/>
                <w:sz w:val="18"/>
                <w:szCs w:val="24"/>
              </w:rPr>
              <w:t>(common understanding is that we shall consider reducing the associated signaling load)</w:t>
            </w:r>
          </w:p>
        </w:tc>
      </w:tr>
    </w:tbl>
    <w:p w14:paraId="49BC8073" w14:textId="3D68FA6B" w:rsidR="00AD7A71" w:rsidRDefault="00AD7A71" w:rsidP="00AD7A71">
      <w:pPr>
        <w:spacing w:before="240" w:after="240"/>
        <w:rPr>
          <w:rFonts w:ascii="Calibri" w:eastAsia="Malgun Gothic" w:hAnsi="Calibri" w:cs="Batang"/>
          <w:lang w:val="en-GB" w:eastAsia="ko-KR"/>
        </w:rPr>
      </w:pPr>
      <w:r>
        <w:rPr>
          <w:rFonts w:ascii="Calibri" w:eastAsia="Malgun Gothic" w:hAnsi="Calibri" w:cs="Batang"/>
          <w:lang w:val="en-GB" w:eastAsia="ko-KR"/>
        </w:rPr>
        <w:t xml:space="preserve">When an IAB-node migrates from one IAB-donor to another IAB-donor, this can trigger a large number of handover procedures for all the </w:t>
      </w:r>
      <w:r w:rsidR="00FA2700">
        <w:rPr>
          <w:rFonts w:ascii="Calibri" w:eastAsia="Malgun Gothic" w:hAnsi="Calibri" w:cs="Batang"/>
          <w:lang w:val="en-GB" w:eastAsia="ko-KR"/>
        </w:rPr>
        <w:t>UEs and IAB-MTs in</w:t>
      </w:r>
      <w:r>
        <w:rPr>
          <w:rFonts w:ascii="Calibri" w:eastAsia="Malgun Gothic" w:hAnsi="Calibri" w:cs="Batang"/>
          <w:lang w:val="en-GB" w:eastAsia="ko-KR"/>
        </w:rPr>
        <w:t xml:space="preserve"> the multi-hop tree further downstream from </w:t>
      </w:r>
      <w:r w:rsidR="00FA2700">
        <w:rPr>
          <w:rFonts w:ascii="Calibri" w:eastAsia="Malgun Gothic" w:hAnsi="Calibri" w:cs="Batang"/>
          <w:lang w:val="en-GB" w:eastAsia="ko-KR"/>
        </w:rPr>
        <w:t>the migrating</w:t>
      </w:r>
      <w:r>
        <w:rPr>
          <w:rFonts w:ascii="Calibri" w:eastAsia="Malgun Gothic" w:hAnsi="Calibri" w:cs="Batang"/>
          <w:lang w:val="en-GB" w:eastAsia="ko-KR"/>
        </w:rPr>
        <w:t xml:space="preserve"> IAB-node. This, in turn</w:t>
      </w:r>
      <w:r w:rsidR="00FA2700">
        <w:rPr>
          <w:rFonts w:ascii="Calibri" w:eastAsia="Malgun Gothic" w:hAnsi="Calibri" w:cs="Batang"/>
          <w:lang w:val="en-GB" w:eastAsia="ko-KR"/>
        </w:rPr>
        <w:t>,</w:t>
      </w:r>
      <w:r>
        <w:rPr>
          <w:rFonts w:ascii="Calibri" w:eastAsia="Malgun Gothic" w:hAnsi="Calibri" w:cs="Batang"/>
          <w:lang w:val="en-GB" w:eastAsia="ko-KR"/>
        </w:rPr>
        <w:t xml:space="preserve"> </w:t>
      </w:r>
      <w:r w:rsidR="00C11DC0">
        <w:rPr>
          <w:rFonts w:ascii="Calibri" w:eastAsia="Malgun Gothic" w:hAnsi="Calibri" w:cs="Batang"/>
          <w:lang w:val="en-GB" w:eastAsia="ko-KR"/>
        </w:rPr>
        <w:t>may</w:t>
      </w:r>
      <w:r>
        <w:rPr>
          <w:rFonts w:ascii="Calibri" w:eastAsia="Malgun Gothic" w:hAnsi="Calibri" w:cs="Batang"/>
          <w:lang w:val="en-GB" w:eastAsia="ko-KR"/>
        </w:rPr>
        <w:t xml:space="preserve"> </w:t>
      </w:r>
      <w:r w:rsidR="00AE2672">
        <w:rPr>
          <w:rFonts w:ascii="Calibri" w:eastAsia="Malgun Gothic" w:hAnsi="Calibri" w:cs="Batang"/>
          <w:lang w:val="en-GB" w:eastAsia="ko-KR"/>
        </w:rPr>
        <w:t>cause</w:t>
      </w:r>
      <w:r>
        <w:rPr>
          <w:rFonts w:ascii="Calibri" w:eastAsia="Malgun Gothic" w:hAnsi="Calibri" w:cs="Batang"/>
          <w:lang w:val="en-GB" w:eastAsia="ko-KR"/>
        </w:rPr>
        <w:t xml:space="preserve"> a </w:t>
      </w:r>
      <w:r w:rsidR="00FA2700">
        <w:rPr>
          <w:rFonts w:ascii="Calibri" w:eastAsia="Malgun Gothic" w:hAnsi="Calibri" w:cs="Batang"/>
          <w:lang w:val="en-GB" w:eastAsia="ko-KR"/>
        </w:rPr>
        <w:t>storm</w:t>
      </w:r>
      <w:r>
        <w:rPr>
          <w:rFonts w:ascii="Calibri" w:eastAsia="Malgun Gothic" w:hAnsi="Calibri" w:cs="Batang"/>
          <w:lang w:val="en-GB" w:eastAsia="ko-KR"/>
        </w:rPr>
        <w:t xml:space="preserve"> of RACH procedures </w:t>
      </w:r>
      <w:r w:rsidR="00FA2700">
        <w:rPr>
          <w:rFonts w:ascii="Calibri" w:eastAsia="Malgun Gothic" w:hAnsi="Calibri" w:cs="Batang"/>
          <w:lang w:val="en-GB" w:eastAsia="ko-KR"/>
        </w:rPr>
        <w:t>due to</w:t>
      </w:r>
      <w:r>
        <w:rPr>
          <w:rFonts w:ascii="Calibri" w:eastAsia="Malgun Gothic" w:hAnsi="Calibri" w:cs="Batang"/>
          <w:lang w:val="en-GB" w:eastAsia="ko-KR"/>
        </w:rPr>
        <w:t xml:space="preserve"> UEs trying to reconnect back to the same IAB-nodes that they were already associated with in the first place. Therefore, a lot of unnecessary procedures and signalling</w:t>
      </w:r>
      <w:r w:rsidR="005802BD">
        <w:rPr>
          <w:rFonts w:ascii="Calibri" w:eastAsia="Malgun Gothic" w:hAnsi="Calibri" w:cs="Batang"/>
          <w:lang w:val="en-GB" w:eastAsia="ko-KR"/>
        </w:rPr>
        <w:t xml:space="preserve"> would need to be executed</w:t>
      </w:r>
      <w:r>
        <w:rPr>
          <w:rFonts w:ascii="Calibri" w:eastAsia="Malgun Gothic" w:hAnsi="Calibri" w:cs="Batang"/>
          <w:lang w:val="en-GB" w:eastAsia="ko-KR"/>
        </w:rPr>
        <w:t xml:space="preserve">. </w:t>
      </w:r>
    </w:p>
    <w:p w14:paraId="7ABD57C3" w14:textId="6D548BDA" w:rsidR="00AE2672" w:rsidRDefault="00AE2672" w:rsidP="00AD7A71">
      <w:pPr>
        <w:spacing w:before="240" w:after="240"/>
        <w:rPr>
          <w:rFonts w:ascii="Calibri" w:eastAsia="Malgun Gothic" w:hAnsi="Calibri" w:cs="Batang"/>
          <w:lang w:val="en-GB" w:eastAsia="ko-KR"/>
        </w:rPr>
      </w:pPr>
      <w:r>
        <w:rPr>
          <w:rFonts w:ascii="Calibri" w:eastAsia="Malgun Gothic" w:hAnsi="Calibri" w:cs="Batang"/>
          <w:lang w:val="en-GB" w:eastAsia="ko-KR"/>
        </w:rPr>
        <w:t xml:space="preserve">Inter-donor IAB-node migration can occur due to a number of reasons. If the IAB-node migration is being done voluntarily by the network for purposes such as load balancing, the network may be able to gradually perform such a transition as long as the migrating IAB-node has connectivity to both IAB-donors. </w:t>
      </w:r>
      <w:r w:rsidR="00870F0D">
        <w:rPr>
          <w:rFonts w:ascii="Calibri" w:eastAsia="Malgun Gothic" w:hAnsi="Calibri" w:cs="Batang"/>
          <w:lang w:val="en-GB" w:eastAsia="ko-KR"/>
        </w:rPr>
        <w:t xml:space="preserve">In such cases, the flood of signalling and RACH procedures may be spread out in time. It is important to note that even in this case the total volume </w:t>
      </w:r>
      <w:r w:rsidR="005802BD">
        <w:rPr>
          <w:rFonts w:ascii="Calibri" w:eastAsia="Malgun Gothic" w:hAnsi="Calibri" w:cs="Batang"/>
          <w:lang w:val="en-GB" w:eastAsia="ko-KR"/>
        </w:rPr>
        <w:t>of</w:t>
      </w:r>
      <w:r w:rsidR="00870F0D">
        <w:rPr>
          <w:rFonts w:ascii="Calibri" w:eastAsia="Malgun Gothic" w:hAnsi="Calibri" w:cs="Batang"/>
          <w:lang w:val="en-GB" w:eastAsia="ko-KR"/>
        </w:rPr>
        <w:t xml:space="preserve"> signalling and RACH procedures is not reduced. Also, the key requirement for </w:t>
      </w:r>
      <w:r w:rsidR="005802BD">
        <w:rPr>
          <w:rFonts w:ascii="Calibri" w:eastAsia="Malgun Gothic" w:hAnsi="Calibri" w:cs="Batang"/>
          <w:lang w:val="en-GB" w:eastAsia="ko-KR"/>
        </w:rPr>
        <w:t>such a</w:t>
      </w:r>
      <w:r w:rsidR="00870F0D">
        <w:rPr>
          <w:rFonts w:ascii="Calibri" w:eastAsia="Malgun Gothic" w:hAnsi="Calibri" w:cs="Batang"/>
          <w:lang w:val="en-GB" w:eastAsia="ko-KR"/>
        </w:rPr>
        <w:t xml:space="preserve"> gradual transition to work is that the migrating IAB-node must continue to have simultaneous connectivity with both involved IAB-donors. As was discussed during the RAN3#109-e meeting, it is still </w:t>
      </w:r>
      <w:r w:rsidR="00870F0D">
        <w:rPr>
          <w:rFonts w:ascii="Calibri" w:eastAsia="Malgun Gothic" w:hAnsi="Calibri" w:cs="Batang"/>
          <w:lang w:val="en-GB" w:eastAsia="ko-KR"/>
        </w:rPr>
        <w:lastRenderedPageBreak/>
        <w:t xml:space="preserve">not clear how such simultaneous connectivity to both IAB-donors could be achieved while still not breaking the F1-interface principle of 1-1 connectivity between </w:t>
      </w:r>
      <w:proofErr w:type="spellStart"/>
      <w:r w:rsidR="00870F0D">
        <w:rPr>
          <w:rFonts w:ascii="Calibri" w:eastAsia="Malgun Gothic" w:hAnsi="Calibri" w:cs="Batang"/>
          <w:lang w:val="en-GB" w:eastAsia="ko-KR"/>
        </w:rPr>
        <w:t>gNB</w:t>
      </w:r>
      <w:proofErr w:type="spellEnd"/>
      <w:r w:rsidR="00870F0D">
        <w:rPr>
          <w:rFonts w:ascii="Calibri" w:eastAsia="Malgun Gothic" w:hAnsi="Calibri" w:cs="Batang"/>
          <w:lang w:val="en-GB" w:eastAsia="ko-KR"/>
        </w:rPr>
        <w:t xml:space="preserve">-DU and </w:t>
      </w:r>
      <w:proofErr w:type="spellStart"/>
      <w:r w:rsidR="00870F0D">
        <w:rPr>
          <w:rFonts w:ascii="Calibri" w:eastAsia="Malgun Gothic" w:hAnsi="Calibri" w:cs="Batang"/>
          <w:lang w:val="en-GB" w:eastAsia="ko-KR"/>
        </w:rPr>
        <w:t>gNB</w:t>
      </w:r>
      <w:proofErr w:type="spellEnd"/>
      <w:r w:rsidR="00870F0D">
        <w:rPr>
          <w:rFonts w:ascii="Calibri" w:eastAsia="Malgun Gothic" w:hAnsi="Calibri" w:cs="Batang"/>
          <w:lang w:val="en-GB" w:eastAsia="ko-KR"/>
        </w:rPr>
        <w:t xml:space="preserve">-CU. </w:t>
      </w:r>
    </w:p>
    <w:p w14:paraId="2C102235" w14:textId="6B0EB50B" w:rsidR="00870F0D" w:rsidRDefault="00870F0D" w:rsidP="00AD7A71">
      <w:pPr>
        <w:spacing w:before="240" w:after="240"/>
        <w:rPr>
          <w:rFonts w:ascii="Calibri" w:eastAsia="Malgun Gothic" w:hAnsi="Calibri" w:cs="Batang"/>
          <w:lang w:val="en-GB" w:eastAsia="ko-KR"/>
        </w:rPr>
      </w:pPr>
      <w:r>
        <w:rPr>
          <w:rFonts w:ascii="Calibri" w:eastAsia="Malgun Gothic" w:hAnsi="Calibri" w:cs="Batang"/>
          <w:lang w:val="en-GB" w:eastAsia="ko-KR"/>
        </w:rPr>
        <w:t>Moreover, there may be scenarios where it may not be possible for the migrating IAB-node to have simultaneous connectivity to both IAB-donors. For example, there may be scenarios where</w:t>
      </w:r>
      <w:r w:rsidR="00EB34F1">
        <w:rPr>
          <w:rFonts w:ascii="Calibri" w:eastAsia="Malgun Gothic" w:hAnsi="Calibri" w:cs="Batang"/>
          <w:lang w:val="en-GB" w:eastAsia="ko-KR"/>
        </w:rPr>
        <w:t xml:space="preserve"> one of the upstream links between the migrating IAB-node and source IAB-donor experiences RLF, and there is no alternate route available. It has been argued</w:t>
      </w:r>
      <w:r w:rsidR="005802BD">
        <w:rPr>
          <w:rFonts w:ascii="Calibri" w:eastAsia="Malgun Gothic" w:hAnsi="Calibri" w:cs="Batang"/>
          <w:lang w:val="en-GB" w:eastAsia="ko-KR"/>
        </w:rPr>
        <w:t>,</w:t>
      </w:r>
      <w:r w:rsidR="00EB34F1">
        <w:rPr>
          <w:rFonts w:ascii="Calibri" w:eastAsia="Malgun Gothic" w:hAnsi="Calibri" w:cs="Batang"/>
          <w:lang w:val="en-GB" w:eastAsia="ko-KR"/>
        </w:rPr>
        <w:t xml:space="preserve"> that in practice IAB-nodes will primarily be deployed as fixed nodes with managed and configured line-of-site backhaul links, so such RLF scenarios may be highly unlikely. However, IAB is a solution with many </w:t>
      </w:r>
      <w:r w:rsidR="005802BD">
        <w:rPr>
          <w:rFonts w:ascii="Calibri" w:eastAsia="Malgun Gothic" w:hAnsi="Calibri" w:cs="Batang"/>
          <w:lang w:val="en-GB" w:eastAsia="ko-KR"/>
        </w:rPr>
        <w:t xml:space="preserve">potential </w:t>
      </w:r>
      <w:r w:rsidR="00EB34F1">
        <w:rPr>
          <w:rFonts w:ascii="Calibri" w:eastAsia="Malgun Gothic" w:hAnsi="Calibri" w:cs="Batang"/>
          <w:lang w:val="en-GB" w:eastAsia="ko-KR"/>
        </w:rPr>
        <w:t xml:space="preserve">use cases. There may be scenarios where IAB is used for temporary deployments, for example in disaster recovery zones where </w:t>
      </w:r>
      <w:r w:rsidR="000470F3">
        <w:rPr>
          <w:rFonts w:ascii="Calibri" w:eastAsia="Malgun Gothic" w:hAnsi="Calibri" w:cs="Batang"/>
          <w:lang w:val="en-GB" w:eastAsia="ko-KR"/>
        </w:rPr>
        <w:t xml:space="preserve">widespread </w:t>
      </w:r>
      <w:proofErr w:type="spellStart"/>
      <w:r w:rsidR="00EB34F1">
        <w:rPr>
          <w:rFonts w:ascii="Calibri" w:eastAsia="Malgun Gothic" w:hAnsi="Calibri" w:cs="Batang"/>
          <w:lang w:val="en-GB" w:eastAsia="ko-KR"/>
        </w:rPr>
        <w:t>fiber</w:t>
      </w:r>
      <w:proofErr w:type="spellEnd"/>
      <w:r w:rsidR="00EB34F1">
        <w:rPr>
          <w:rFonts w:ascii="Calibri" w:eastAsia="Malgun Gothic" w:hAnsi="Calibri" w:cs="Batang"/>
          <w:lang w:val="en-GB" w:eastAsia="ko-KR"/>
        </w:rPr>
        <w:t xml:space="preserve">-connectivity may not be available, or to provide temporary coverage for events, etc. Depending upon the size, scale or location of such deployments, it is quite possible for scenarios to exist where a migrating IAB-node does not have simultaneous connectivity to both involved IAB-donors. </w:t>
      </w:r>
      <w:r w:rsidR="000470F3">
        <w:rPr>
          <w:rFonts w:ascii="Calibri" w:eastAsia="Malgun Gothic" w:hAnsi="Calibri" w:cs="Batang"/>
          <w:lang w:val="en-GB" w:eastAsia="ko-KR"/>
        </w:rPr>
        <w:t xml:space="preserve">Furthermore, such non-traditional scenarios may be even more sensitive to a flood of signalling and RACH procedures compared to more traditional </w:t>
      </w:r>
      <w:r w:rsidR="005802BD">
        <w:rPr>
          <w:rFonts w:ascii="Calibri" w:eastAsia="Malgun Gothic" w:hAnsi="Calibri" w:cs="Batang"/>
          <w:lang w:val="en-GB" w:eastAsia="ko-KR"/>
        </w:rPr>
        <w:t>fixed-</w:t>
      </w:r>
      <w:r w:rsidR="000470F3">
        <w:rPr>
          <w:rFonts w:ascii="Calibri" w:eastAsia="Malgun Gothic" w:hAnsi="Calibri" w:cs="Batang"/>
          <w:lang w:val="en-GB" w:eastAsia="ko-KR"/>
        </w:rPr>
        <w:t>node scenarios. Even for traditional fixed-node deployments of IAB</w:t>
      </w:r>
      <w:r w:rsidR="00ED6624">
        <w:rPr>
          <w:rFonts w:ascii="Calibri" w:eastAsia="Malgun Gothic" w:hAnsi="Calibri" w:cs="Batang"/>
          <w:lang w:val="en-GB" w:eastAsia="ko-KR"/>
        </w:rPr>
        <w:t xml:space="preserve"> in dense urban environments</w:t>
      </w:r>
      <w:r w:rsidR="000470F3">
        <w:rPr>
          <w:rFonts w:ascii="Calibri" w:eastAsia="Malgun Gothic" w:hAnsi="Calibri" w:cs="Batang"/>
          <w:lang w:val="en-GB" w:eastAsia="ko-KR"/>
        </w:rPr>
        <w:t xml:space="preserve">, there could always be situations where an IAB-node loses a parent link due to various reasons such as blockage due to construction vehicles, etc. </w:t>
      </w:r>
    </w:p>
    <w:p w14:paraId="7DD5A75E" w14:textId="0BEDE7F4" w:rsidR="00AD7A71" w:rsidRDefault="000470F3" w:rsidP="00BE1C54">
      <w:pPr>
        <w:spacing w:before="240" w:after="0"/>
        <w:rPr>
          <w:rFonts w:ascii="Calibri" w:eastAsia="Malgun Gothic" w:hAnsi="Calibri" w:cs="Batang"/>
          <w:lang w:val="en-GB" w:eastAsia="ko-KR"/>
        </w:rPr>
      </w:pPr>
      <w:r>
        <w:rPr>
          <w:rFonts w:ascii="Calibri" w:eastAsia="Malgun Gothic" w:hAnsi="Calibri" w:cs="Batang"/>
          <w:lang w:val="en-GB" w:eastAsia="ko-KR"/>
        </w:rPr>
        <w:t xml:space="preserve">In summary, while it may be reasonable to start with the current signalling procedures as the baseline for inter-donor IAB-node migration, it is imperative </w:t>
      </w:r>
      <w:r w:rsidR="00C33C53">
        <w:rPr>
          <w:rFonts w:ascii="Calibri" w:eastAsia="Malgun Gothic" w:hAnsi="Calibri" w:cs="Batang"/>
          <w:lang w:val="en-GB" w:eastAsia="ko-KR"/>
        </w:rPr>
        <w:t>to</w:t>
      </w:r>
      <w:r>
        <w:rPr>
          <w:rFonts w:ascii="Calibri" w:eastAsia="Malgun Gothic" w:hAnsi="Calibri" w:cs="Batang"/>
          <w:lang w:val="en-GB" w:eastAsia="ko-KR"/>
        </w:rPr>
        <w:t xml:space="preserve"> address the flood of signalling and RACH procedures that may be unleashed on the network as a result of the </w:t>
      </w:r>
      <w:r w:rsidR="005802BD">
        <w:rPr>
          <w:rFonts w:ascii="Calibri" w:eastAsia="Malgun Gothic" w:hAnsi="Calibri" w:cs="Batang"/>
          <w:lang w:val="en-GB" w:eastAsia="ko-KR"/>
        </w:rPr>
        <w:t xml:space="preserve">inter-donor IAB-node </w:t>
      </w:r>
      <w:r>
        <w:rPr>
          <w:rFonts w:ascii="Calibri" w:eastAsia="Malgun Gothic" w:hAnsi="Calibri" w:cs="Batang"/>
          <w:lang w:val="en-GB" w:eastAsia="ko-KR"/>
        </w:rPr>
        <w:t xml:space="preserve">migration. </w:t>
      </w:r>
    </w:p>
    <w:p w14:paraId="5339D23D" w14:textId="3FB120BF" w:rsidR="000470F3" w:rsidRPr="00300475" w:rsidRDefault="00ED6624" w:rsidP="00BE1C54">
      <w:pPr>
        <w:spacing w:before="240" w:after="0"/>
        <w:rPr>
          <w:rFonts w:ascii="Calibri" w:eastAsia="Malgun Gothic" w:hAnsi="Calibri" w:cs="Batang"/>
          <w:b/>
          <w:bCs/>
          <w:lang w:val="en-GB" w:eastAsia="ko-KR"/>
        </w:rPr>
      </w:pPr>
      <w:r w:rsidRPr="00300475">
        <w:rPr>
          <w:rFonts w:ascii="Calibri" w:eastAsia="Malgun Gothic" w:hAnsi="Calibri" w:cs="Batang"/>
          <w:b/>
          <w:bCs/>
          <w:lang w:val="en-GB" w:eastAsia="ko-KR"/>
        </w:rPr>
        <w:t xml:space="preserve">Proposal 1: </w:t>
      </w:r>
      <w:r w:rsidR="00C33C53" w:rsidRPr="00300475">
        <w:rPr>
          <w:rFonts w:ascii="Calibri" w:eastAsia="Malgun Gothic" w:hAnsi="Calibri" w:cs="Batang"/>
          <w:b/>
          <w:bCs/>
          <w:lang w:val="en-GB" w:eastAsia="ko-KR"/>
        </w:rPr>
        <w:t xml:space="preserve">Even though current signalling procedures have been agreed as baseline for inter-donor migration of UEs and IAB-MTs, due to significant potential of current procedures to overwhelm the network, and keeping in line with the work item objective of reducing signalling load, enhancements shall be introduced in Rel-17 to </w:t>
      </w:r>
      <w:r w:rsidR="00300475" w:rsidRPr="00300475">
        <w:rPr>
          <w:rFonts w:ascii="Calibri" w:eastAsia="Malgun Gothic" w:hAnsi="Calibri" w:cs="Batang"/>
          <w:b/>
          <w:bCs/>
          <w:lang w:val="en-GB" w:eastAsia="ko-KR"/>
        </w:rPr>
        <w:t xml:space="preserve">minimize the signalling and procedures needed for inter-donor IAB-node migration. </w:t>
      </w:r>
    </w:p>
    <w:p w14:paraId="6BEBDCA5" w14:textId="0B42B24A" w:rsidR="000470F3" w:rsidRDefault="00E905A5" w:rsidP="00BE1C54">
      <w:pPr>
        <w:pStyle w:val="Heading2"/>
        <w:spacing w:before="240"/>
        <w:rPr>
          <w:rFonts w:eastAsia="Malgun Gothic"/>
          <w:lang w:val="en-GB" w:eastAsia="ko-KR"/>
        </w:rPr>
      </w:pPr>
      <w:r>
        <w:rPr>
          <w:rFonts w:eastAsia="Malgun Gothic"/>
          <w:lang w:val="en-GB" w:eastAsia="ko-KR"/>
        </w:rPr>
        <w:t xml:space="preserve">RACH procedure and </w:t>
      </w:r>
      <w:r w:rsidR="00751FFA">
        <w:rPr>
          <w:rFonts w:eastAsia="Malgun Gothic"/>
          <w:lang w:val="en-GB" w:eastAsia="ko-KR"/>
        </w:rPr>
        <w:t>security key update</w:t>
      </w:r>
    </w:p>
    <w:p w14:paraId="621C2F90" w14:textId="446B654A" w:rsidR="001B3B59" w:rsidRDefault="00172302" w:rsidP="00BE1C54">
      <w:pPr>
        <w:spacing w:before="240" w:after="0"/>
        <w:rPr>
          <w:rFonts w:ascii="Calibri" w:eastAsia="Malgun Gothic" w:hAnsi="Calibri" w:cs="Batang"/>
          <w:lang w:val="en-GB" w:eastAsia="ko-KR"/>
        </w:rPr>
      </w:pPr>
      <w:r>
        <w:rPr>
          <w:rFonts w:ascii="Calibri" w:eastAsia="Malgun Gothic" w:hAnsi="Calibri" w:cs="Batang"/>
          <w:lang w:val="en-GB" w:eastAsia="ko-KR"/>
        </w:rPr>
        <w:t>When an IAB-node migrates from one donor node to another donor node, if we follow current signalling procedures, th</w:t>
      </w:r>
      <w:r w:rsidR="001B3B59">
        <w:rPr>
          <w:rFonts w:ascii="Calibri" w:eastAsia="Malgun Gothic" w:hAnsi="Calibri" w:cs="Batang"/>
          <w:lang w:val="en-GB" w:eastAsia="ko-KR"/>
        </w:rPr>
        <w:t>is</w:t>
      </w:r>
      <w:r>
        <w:rPr>
          <w:rFonts w:ascii="Calibri" w:eastAsia="Malgun Gothic" w:hAnsi="Calibri" w:cs="Batang"/>
          <w:lang w:val="en-GB" w:eastAsia="ko-KR"/>
        </w:rPr>
        <w:t xml:space="preserve"> would require every UE associated with the IAB-node and every UE associated with all children of that IAB-node to go through an </w:t>
      </w:r>
      <w:proofErr w:type="spellStart"/>
      <w:r>
        <w:rPr>
          <w:rFonts w:ascii="Calibri" w:eastAsia="Malgun Gothic" w:hAnsi="Calibri" w:cs="Batang"/>
          <w:lang w:val="en-GB" w:eastAsia="ko-KR"/>
        </w:rPr>
        <w:t>Xn</w:t>
      </w:r>
      <w:proofErr w:type="spellEnd"/>
      <w:r>
        <w:rPr>
          <w:rFonts w:ascii="Calibri" w:eastAsia="Malgun Gothic" w:hAnsi="Calibri" w:cs="Batang"/>
          <w:lang w:val="en-GB" w:eastAsia="ko-KR"/>
        </w:rPr>
        <w:t xml:space="preserve"> Handover Procedure, which would involve </w:t>
      </w:r>
      <w:r w:rsidR="001B3B59">
        <w:rPr>
          <w:rFonts w:ascii="Calibri" w:eastAsia="Malgun Gothic" w:hAnsi="Calibri" w:cs="Batang"/>
          <w:lang w:val="en-GB" w:eastAsia="ko-KR"/>
        </w:rPr>
        <w:t>handover-related measurements,</w:t>
      </w:r>
      <w:r>
        <w:rPr>
          <w:rFonts w:ascii="Calibri" w:eastAsia="Malgun Gothic" w:hAnsi="Calibri" w:cs="Batang"/>
          <w:lang w:val="en-GB" w:eastAsia="ko-KR"/>
        </w:rPr>
        <w:t xml:space="preserve"> RACH access</w:t>
      </w:r>
      <w:r w:rsidR="00F97F79">
        <w:rPr>
          <w:rFonts w:ascii="Calibri" w:eastAsia="Malgun Gothic" w:hAnsi="Calibri" w:cs="Batang"/>
          <w:lang w:val="en-GB" w:eastAsia="ko-KR"/>
        </w:rPr>
        <w:t xml:space="preserve"> and RRC reconfiguration. The RACH procedure is completely unnecessary because there would be no</w:t>
      </w:r>
      <w:r w:rsidR="001B3B59">
        <w:rPr>
          <w:rFonts w:ascii="Calibri" w:eastAsia="Malgun Gothic" w:hAnsi="Calibri" w:cs="Batang"/>
          <w:lang w:val="en-GB" w:eastAsia="ko-KR"/>
        </w:rPr>
        <w:t xml:space="preserve"> </w:t>
      </w:r>
      <w:r w:rsidR="00F97F79">
        <w:rPr>
          <w:rFonts w:ascii="Calibri" w:eastAsia="Malgun Gothic" w:hAnsi="Calibri" w:cs="Batang"/>
          <w:lang w:val="en-GB" w:eastAsia="ko-KR"/>
        </w:rPr>
        <w:t xml:space="preserve">change in the UE’s serving cell, or in the case of child IAB-nodes, no change in parent cells. Therefore, the </w:t>
      </w:r>
      <w:r w:rsidR="006A1FFE">
        <w:rPr>
          <w:rFonts w:ascii="Calibri" w:eastAsia="Malgun Gothic" w:hAnsi="Calibri" w:cs="Batang"/>
          <w:lang w:val="en-GB" w:eastAsia="ko-KR"/>
        </w:rPr>
        <w:t>RACH procedure</w:t>
      </w:r>
      <w:r w:rsidR="00F97F79">
        <w:rPr>
          <w:rFonts w:ascii="Calibri" w:eastAsia="Malgun Gothic" w:hAnsi="Calibri" w:cs="Batang"/>
          <w:lang w:val="en-GB" w:eastAsia="ko-KR"/>
        </w:rPr>
        <w:t xml:space="preserve"> can be completely avoided.</w:t>
      </w:r>
      <w:r w:rsidR="006A1FFE">
        <w:rPr>
          <w:rFonts w:ascii="Calibri" w:eastAsia="Malgun Gothic" w:hAnsi="Calibri" w:cs="Batang"/>
          <w:lang w:val="en-GB" w:eastAsia="ko-KR"/>
        </w:rPr>
        <w:t xml:space="preserve"> </w:t>
      </w:r>
      <w:r w:rsidR="001B3B59">
        <w:rPr>
          <w:rFonts w:ascii="Calibri" w:eastAsia="Malgun Gothic" w:hAnsi="Calibri" w:cs="Batang"/>
          <w:lang w:val="en-GB" w:eastAsia="ko-KR"/>
        </w:rPr>
        <w:t>Correspondingly, any handover-related measurements that a UE would normally perform under current signalling procedures could also be avoided.</w:t>
      </w:r>
    </w:p>
    <w:p w14:paraId="0B94D020" w14:textId="77777777" w:rsidR="00467BD4" w:rsidRDefault="00467BD4" w:rsidP="00467BD4">
      <w:pPr>
        <w:spacing w:before="240" w:after="240"/>
        <w:rPr>
          <w:rFonts w:ascii="Calibri" w:eastAsia="Malgun Gothic" w:hAnsi="Calibri" w:cs="Batang"/>
          <w:b/>
          <w:bCs/>
          <w:lang w:val="en-GB" w:eastAsia="ko-KR"/>
        </w:rPr>
      </w:pPr>
      <w:r w:rsidRPr="006A1FFE">
        <w:rPr>
          <w:rFonts w:ascii="Calibri" w:eastAsia="Malgun Gothic" w:hAnsi="Calibri" w:cs="Batang"/>
          <w:b/>
          <w:bCs/>
          <w:lang w:val="en-GB" w:eastAsia="ko-KR"/>
        </w:rPr>
        <w:t xml:space="preserve">Proposal 2: UEs and IAB-MTs associated </w:t>
      </w:r>
      <w:r>
        <w:rPr>
          <w:rFonts w:ascii="Calibri" w:eastAsia="Malgun Gothic" w:hAnsi="Calibri" w:cs="Batang"/>
          <w:b/>
          <w:bCs/>
          <w:lang w:val="en-GB" w:eastAsia="ko-KR"/>
        </w:rPr>
        <w:t>with an inter-donor migrating IAB-node should be able</w:t>
      </w:r>
      <w:r w:rsidRPr="006A1FFE">
        <w:rPr>
          <w:rFonts w:ascii="Calibri" w:eastAsia="Malgun Gothic" w:hAnsi="Calibri" w:cs="Batang"/>
          <w:b/>
          <w:bCs/>
          <w:lang w:val="en-GB" w:eastAsia="ko-KR"/>
        </w:rPr>
        <w:t xml:space="preserve"> to avoid the RACH procedure</w:t>
      </w:r>
      <w:r>
        <w:rPr>
          <w:rFonts w:ascii="Calibri" w:eastAsia="Malgun Gothic" w:hAnsi="Calibri" w:cs="Batang"/>
          <w:b/>
          <w:bCs/>
          <w:lang w:val="en-GB" w:eastAsia="ko-KR"/>
        </w:rPr>
        <w:t xml:space="preserve"> and handover-related measurements.</w:t>
      </w:r>
    </w:p>
    <w:p w14:paraId="7436181F" w14:textId="66F879B4" w:rsidR="00F97F79" w:rsidRDefault="001B3B59" w:rsidP="00BE1C54">
      <w:pPr>
        <w:spacing w:before="240" w:after="0"/>
        <w:rPr>
          <w:rFonts w:ascii="Calibri" w:eastAsia="Malgun Gothic" w:hAnsi="Calibri" w:cs="Batang"/>
          <w:lang w:val="en-GB" w:eastAsia="ko-KR"/>
        </w:rPr>
      </w:pPr>
      <w:r>
        <w:rPr>
          <w:rFonts w:ascii="Calibri" w:eastAsia="Malgun Gothic" w:hAnsi="Calibri" w:cs="Batang"/>
          <w:lang w:val="en-GB" w:eastAsia="ko-KR"/>
        </w:rPr>
        <w:t xml:space="preserve">One of the issues with an inter-donor migration is that if there is a change of termination point, there would need to be a change in security key. </w:t>
      </w:r>
      <w:r w:rsidR="00467BD4">
        <w:rPr>
          <w:rFonts w:ascii="Calibri" w:eastAsia="Malgun Gothic" w:hAnsi="Calibri" w:cs="Batang"/>
          <w:lang w:val="en-GB" w:eastAsia="ko-KR"/>
        </w:rPr>
        <w:t xml:space="preserve">In a regular Rel-15 based </w:t>
      </w:r>
      <w:proofErr w:type="spellStart"/>
      <w:r w:rsidR="00467BD4">
        <w:rPr>
          <w:rFonts w:ascii="Calibri" w:eastAsia="Malgun Gothic" w:hAnsi="Calibri" w:cs="Batang"/>
          <w:lang w:val="en-GB" w:eastAsia="ko-KR"/>
        </w:rPr>
        <w:t>Xn</w:t>
      </w:r>
      <w:proofErr w:type="spellEnd"/>
      <w:r w:rsidR="00467BD4">
        <w:rPr>
          <w:rFonts w:ascii="Calibri" w:eastAsia="Malgun Gothic" w:hAnsi="Calibri" w:cs="Batang"/>
          <w:lang w:val="en-GB" w:eastAsia="ko-KR"/>
        </w:rPr>
        <w:t xml:space="preserve"> handover procedure, the security key is provided by the target </w:t>
      </w:r>
      <w:proofErr w:type="spellStart"/>
      <w:r w:rsidR="00467BD4">
        <w:rPr>
          <w:rFonts w:ascii="Calibri" w:eastAsia="Malgun Gothic" w:hAnsi="Calibri" w:cs="Batang"/>
          <w:lang w:val="en-GB" w:eastAsia="ko-KR"/>
        </w:rPr>
        <w:t>gNB</w:t>
      </w:r>
      <w:proofErr w:type="spellEnd"/>
      <w:r w:rsidR="00467BD4">
        <w:rPr>
          <w:rFonts w:ascii="Calibri" w:eastAsia="Malgun Gothic" w:hAnsi="Calibri" w:cs="Batang"/>
          <w:lang w:val="en-GB" w:eastAsia="ko-KR"/>
        </w:rPr>
        <w:t xml:space="preserve">-CU in an </w:t>
      </w:r>
      <w:proofErr w:type="spellStart"/>
      <w:r w:rsidR="00467BD4">
        <w:rPr>
          <w:rFonts w:ascii="Calibri" w:eastAsia="Malgun Gothic" w:hAnsi="Calibri" w:cs="Batang"/>
          <w:lang w:val="en-GB" w:eastAsia="ko-KR"/>
        </w:rPr>
        <w:t>RRCReconfiguration</w:t>
      </w:r>
      <w:proofErr w:type="spellEnd"/>
      <w:r w:rsidR="00467BD4">
        <w:rPr>
          <w:rFonts w:ascii="Calibri" w:eastAsia="Malgun Gothic" w:hAnsi="Calibri" w:cs="Batang"/>
          <w:lang w:val="en-GB" w:eastAsia="ko-KR"/>
        </w:rPr>
        <w:t xml:space="preserve"> message and transferred over the </w:t>
      </w:r>
      <w:proofErr w:type="spellStart"/>
      <w:r w:rsidR="00467BD4">
        <w:rPr>
          <w:rFonts w:ascii="Calibri" w:eastAsia="Malgun Gothic" w:hAnsi="Calibri" w:cs="Batang"/>
          <w:lang w:val="en-GB" w:eastAsia="ko-KR"/>
        </w:rPr>
        <w:t>Xn</w:t>
      </w:r>
      <w:proofErr w:type="spellEnd"/>
      <w:r w:rsidR="00467BD4">
        <w:rPr>
          <w:rFonts w:ascii="Calibri" w:eastAsia="Malgun Gothic" w:hAnsi="Calibri" w:cs="Batang"/>
          <w:lang w:val="en-GB" w:eastAsia="ko-KR"/>
        </w:rPr>
        <w:t xml:space="preserve"> interface to the source </w:t>
      </w:r>
      <w:proofErr w:type="spellStart"/>
      <w:r w:rsidR="00467BD4">
        <w:rPr>
          <w:rFonts w:ascii="Calibri" w:eastAsia="Malgun Gothic" w:hAnsi="Calibri" w:cs="Batang"/>
          <w:lang w:val="en-GB" w:eastAsia="ko-KR"/>
        </w:rPr>
        <w:t>gNB</w:t>
      </w:r>
      <w:proofErr w:type="spellEnd"/>
      <w:r w:rsidR="00467BD4">
        <w:rPr>
          <w:rFonts w:ascii="Calibri" w:eastAsia="Malgun Gothic" w:hAnsi="Calibri" w:cs="Batang"/>
          <w:lang w:val="en-GB" w:eastAsia="ko-KR"/>
        </w:rPr>
        <w:t>-CU to be delivered to the UE in question. In the case of IAB, for inter-donor IAB-node migration, t</w:t>
      </w:r>
      <w:r w:rsidR="006A1FFE">
        <w:rPr>
          <w:rFonts w:ascii="Calibri" w:eastAsia="Malgun Gothic" w:hAnsi="Calibri" w:cs="Batang"/>
          <w:lang w:val="en-GB" w:eastAsia="ko-KR"/>
        </w:rPr>
        <w:t xml:space="preserve">he UEs/IAB-MTs </w:t>
      </w:r>
      <w:r>
        <w:rPr>
          <w:rFonts w:ascii="Calibri" w:eastAsia="Malgun Gothic" w:hAnsi="Calibri" w:cs="Batang"/>
          <w:lang w:val="en-GB" w:eastAsia="ko-KR"/>
        </w:rPr>
        <w:t xml:space="preserve">associated with </w:t>
      </w:r>
      <w:r w:rsidR="00467BD4">
        <w:rPr>
          <w:rFonts w:ascii="Calibri" w:eastAsia="Malgun Gothic" w:hAnsi="Calibri" w:cs="Batang"/>
          <w:lang w:val="en-GB" w:eastAsia="ko-KR"/>
        </w:rPr>
        <w:t>the</w:t>
      </w:r>
      <w:r>
        <w:rPr>
          <w:rFonts w:ascii="Calibri" w:eastAsia="Malgun Gothic" w:hAnsi="Calibri" w:cs="Batang"/>
          <w:lang w:val="en-GB" w:eastAsia="ko-KR"/>
        </w:rPr>
        <w:t xml:space="preserve"> migrating IAB-node </w:t>
      </w:r>
      <w:r w:rsidR="00467BD4">
        <w:rPr>
          <w:rFonts w:ascii="Calibri" w:eastAsia="Malgun Gothic" w:hAnsi="Calibri" w:cs="Batang"/>
          <w:lang w:val="en-GB" w:eastAsia="ko-KR"/>
        </w:rPr>
        <w:t xml:space="preserve">would also </w:t>
      </w:r>
      <w:r w:rsidR="006A1FFE">
        <w:rPr>
          <w:rFonts w:ascii="Calibri" w:eastAsia="Malgun Gothic" w:hAnsi="Calibri" w:cs="Batang"/>
          <w:lang w:val="en-GB" w:eastAsia="ko-KR"/>
        </w:rPr>
        <w:t xml:space="preserve">be provided the security key update in a </w:t>
      </w:r>
      <w:proofErr w:type="spellStart"/>
      <w:r w:rsidR="006A1FFE">
        <w:rPr>
          <w:rFonts w:ascii="Calibri" w:eastAsia="Malgun Gothic" w:hAnsi="Calibri" w:cs="Batang"/>
          <w:lang w:val="en-GB" w:eastAsia="ko-KR"/>
        </w:rPr>
        <w:t>RRCReconfiguration</w:t>
      </w:r>
      <w:proofErr w:type="spellEnd"/>
      <w:r w:rsidR="006A1FFE">
        <w:rPr>
          <w:rFonts w:ascii="Calibri" w:eastAsia="Malgun Gothic" w:hAnsi="Calibri" w:cs="Batang"/>
          <w:lang w:val="en-GB" w:eastAsia="ko-KR"/>
        </w:rPr>
        <w:t xml:space="preserve"> message</w:t>
      </w:r>
      <w:r w:rsidR="00940DDC">
        <w:rPr>
          <w:rFonts w:ascii="Calibri" w:eastAsia="Malgun Gothic" w:hAnsi="Calibri" w:cs="Batang"/>
          <w:lang w:val="en-GB" w:eastAsia="ko-KR"/>
        </w:rPr>
        <w:t xml:space="preserve"> from the target IAB-donor</w:t>
      </w:r>
      <w:r w:rsidR="006A1FFE">
        <w:rPr>
          <w:rFonts w:ascii="Calibri" w:eastAsia="Malgun Gothic" w:hAnsi="Calibri" w:cs="Batang"/>
          <w:lang w:val="en-GB" w:eastAsia="ko-KR"/>
        </w:rPr>
        <w:t>.</w:t>
      </w:r>
      <w:r w:rsidR="00F97F79">
        <w:rPr>
          <w:rFonts w:ascii="Calibri" w:eastAsia="Malgun Gothic" w:hAnsi="Calibri" w:cs="Batang"/>
          <w:lang w:val="en-GB" w:eastAsia="ko-KR"/>
        </w:rPr>
        <w:t xml:space="preserve"> </w:t>
      </w:r>
      <w:r w:rsidR="00467BD4">
        <w:rPr>
          <w:rFonts w:ascii="Calibri" w:eastAsia="Malgun Gothic" w:hAnsi="Calibri" w:cs="Batang"/>
          <w:lang w:val="en-GB" w:eastAsia="ko-KR"/>
        </w:rPr>
        <w:t xml:space="preserve">However, in this case </w:t>
      </w:r>
      <w:r w:rsidR="00E92E84">
        <w:rPr>
          <w:rFonts w:ascii="Calibri" w:eastAsia="Malgun Gothic" w:hAnsi="Calibri" w:cs="Batang"/>
          <w:lang w:val="en-GB" w:eastAsia="ko-KR"/>
        </w:rPr>
        <w:t xml:space="preserve">there may be different ways of providing the </w:t>
      </w:r>
      <w:proofErr w:type="spellStart"/>
      <w:r w:rsidR="00E92E84">
        <w:rPr>
          <w:rFonts w:ascii="Calibri" w:eastAsia="Malgun Gothic" w:hAnsi="Calibri" w:cs="Batang"/>
          <w:lang w:val="en-GB" w:eastAsia="ko-KR"/>
        </w:rPr>
        <w:t>RRCReconfiguration</w:t>
      </w:r>
      <w:proofErr w:type="spellEnd"/>
      <w:r w:rsidR="00E92E84">
        <w:rPr>
          <w:rFonts w:ascii="Calibri" w:eastAsia="Malgun Gothic" w:hAnsi="Calibri" w:cs="Batang"/>
          <w:lang w:val="en-GB" w:eastAsia="ko-KR"/>
        </w:rPr>
        <w:t xml:space="preserve"> message with security key update from the target IAB-donor to the UEs and IAB-MTs involved in this migration. </w:t>
      </w:r>
      <w:r w:rsidR="00467BD4">
        <w:rPr>
          <w:rFonts w:ascii="Calibri" w:eastAsia="Malgun Gothic" w:hAnsi="Calibri" w:cs="Batang"/>
          <w:lang w:val="en-GB" w:eastAsia="ko-KR"/>
        </w:rPr>
        <w:t>T</w:t>
      </w:r>
      <w:r w:rsidR="00DB3BF6">
        <w:rPr>
          <w:rFonts w:ascii="Calibri" w:eastAsia="Malgun Gothic" w:hAnsi="Calibri" w:cs="Batang"/>
          <w:lang w:val="en-GB" w:eastAsia="ko-KR"/>
        </w:rPr>
        <w:t>here may be difference</w:t>
      </w:r>
      <w:r w:rsidR="000D342A">
        <w:rPr>
          <w:rFonts w:ascii="Calibri" w:eastAsia="Malgun Gothic" w:hAnsi="Calibri" w:cs="Batang"/>
          <w:lang w:val="en-GB" w:eastAsia="ko-KR"/>
        </w:rPr>
        <w:t>s</w:t>
      </w:r>
      <w:r w:rsidR="00DB3BF6">
        <w:rPr>
          <w:rFonts w:ascii="Calibri" w:eastAsia="Malgun Gothic" w:hAnsi="Calibri" w:cs="Batang"/>
          <w:lang w:val="en-GB" w:eastAsia="ko-KR"/>
        </w:rPr>
        <w:t xml:space="preserve"> in the procedure depending upon whether </w:t>
      </w:r>
      <w:r w:rsidR="009159CC">
        <w:rPr>
          <w:rFonts w:ascii="Calibri" w:eastAsia="Malgun Gothic" w:hAnsi="Calibri" w:cs="Batang"/>
          <w:lang w:val="en-GB" w:eastAsia="ko-KR"/>
        </w:rPr>
        <w:t xml:space="preserve">the migrating IAB-node can </w:t>
      </w:r>
      <w:r w:rsidR="00DB3BF6">
        <w:rPr>
          <w:rFonts w:ascii="Calibri" w:eastAsia="Malgun Gothic" w:hAnsi="Calibri" w:cs="Batang"/>
          <w:lang w:val="en-GB" w:eastAsia="ko-KR"/>
        </w:rPr>
        <w:t>simultaneous</w:t>
      </w:r>
      <w:r w:rsidR="009159CC">
        <w:rPr>
          <w:rFonts w:ascii="Calibri" w:eastAsia="Malgun Gothic" w:hAnsi="Calibri" w:cs="Batang"/>
          <w:lang w:val="en-GB" w:eastAsia="ko-KR"/>
        </w:rPr>
        <w:t>ly</w:t>
      </w:r>
      <w:r w:rsidR="00DB3BF6">
        <w:rPr>
          <w:rFonts w:ascii="Calibri" w:eastAsia="Malgun Gothic" w:hAnsi="Calibri" w:cs="Batang"/>
          <w:lang w:val="en-GB" w:eastAsia="ko-KR"/>
        </w:rPr>
        <w:t xml:space="preserve"> connect</w:t>
      </w:r>
      <w:r w:rsidR="009159CC">
        <w:rPr>
          <w:rFonts w:ascii="Calibri" w:eastAsia="Malgun Gothic" w:hAnsi="Calibri" w:cs="Batang"/>
          <w:lang w:val="en-GB" w:eastAsia="ko-KR"/>
        </w:rPr>
        <w:t xml:space="preserve"> with the source and target IAB-donors or not. </w:t>
      </w:r>
      <w:r w:rsidR="00467BD4">
        <w:rPr>
          <w:rFonts w:ascii="Calibri" w:eastAsia="Malgun Gothic" w:hAnsi="Calibri" w:cs="Batang"/>
          <w:lang w:val="en-GB" w:eastAsia="ko-KR"/>
        </w:rPr>
        <w:t xml:space="preserve">Also, there may be differences depending upon </w:t>
      </w:r>
      <w:r w:rsidR="00FD3BDF">
        <w:rPr>
          <w:rFonts w:ascii="Calibri" w:eastAsia="Malgun Gothic" w:hAnsi="Calibri" w:cs="Batang"/>
          <w:lang w:val="en-GB" w:eastAsia="ko-KR"/>
        </w:rPr>
        <w:t>how</w:t>
      </w:r>
      <w:r w:rsidR="00467BD4">
        <w:rPr>
          <w:rFonts w:ascii="Calibri" w:eastAsia="Malgun Gothic" w:hAnsi="Calibri" w:cs="Batang"/>
          <w:lang w:val="en-GB" w:eastAsia="ko-KR"/>
        </w:rPr>
        <w:t xml:space="preserve"> group signalling procedures are designed for inter-donor IAB-node migration. </w:t>
      </w:r>
      <w:r w:rsidR="00E92E84">
        <w:rPr>
          <w:rFonts w:ascii="Calibri" w:eastAsia="Malgun Gothic" w:hAnsi="Calibri" w:cs="Batang"/>
          <w:lang w:val="en-GB" w:eastAsia="ko-KR"/>
        </w:rPr>
        <w:t xml:space="preserve">At present, </w:t>
      </w:r>
      <w:r w:rsidR="009159CC">
        <w:rPr>
          <w:rFonts w:ascii="Calibri" w:eastAsia="Malgun Gothic" w:hAnsi="Calibri" w:cs="Batang"/>
          <w:lang w:val="en-GB" w:eastAsia="ko-KR"/>
        </w:rPr>
        <w:t>none of th</w:t>
      </w:r>
      <w:r w:rsidR="000D342A">
        <w:rPr>
          <w:rFonts w:ascii="Calibri" w:eastAsia="Malgun Gothic" w:hAnsi="Calibri" w:cs="Batang"/>
          <w:lang w:val="en-GB" w:eastAsia="ko-KR"/>
        </w:rPr>
        <w:t>ose</w:t>
      </w:r>
      <w:r w:rsidR="00E92E84">
        <w:rPr>
          <w:rFonts w:ascii="Calibri" w:eastAsia="Malgun Gothic" w:hAnsi="Calibri" w:cs="Batang"/>
          <w:lang w:val="en-GB" w:eastAsia="ko-KR"/>
        </w:rPr>
        <w:t xml:space="preserve"> </w:t>
      </w:r>
      <w:r w:rsidR="000C02B7">
        <w:rPr>
          <w:rFonts w:ascii="Calibri" w:eastAsia="Malgun Gothic" w:hAnsi="Calibri" w:cs="Batang"/>
          <w:lang w:val="en-GB" w:eastAsia="ko-KR"/>
        </w:rPr>
        <w:t xml:space="preserve">solution </w:t>
      </w:r>
      <w:r w:rsidR="00E92E84">
        <w:rPr>
          <w:rFonts w:ascii="Calibri" w:eastAsia="Malgun Gothic" w:hAnsi="Calibri" w:cs="Batang"/>
          <w:lang w:val="en-GB" w:eastAsia="ko-KR"/>
        </w:rPr>
        <w:t xml:space="preserve">details need to be agreed. However, it is important to agree on the </w:t>
      </w:r>
      <w:r w:rsidR="000C02B7">
        <w:rPr>
          <w:rFonts w:ascii="Calibri" w:eastAsia="Malgun Gothic" w:hAnsi="Calibri" w:cs="Batang"/>
          <w:lang w:val="en-GB" w:eastAsia="ko-KR"/>
        </w:rPr>
        <w:t xml:space="preserve">framework </w:t>
      </w:r>
      <w:r w:rsidR="00E92E84">
        <w:rPr>
          <w:rFonts w:ascii="Calibri" w:eastAsia="Malgun Gothic" w:hAnsi="Calibri" w:cs="Batang"/>
          <w:lang w:val="en-GB" w:eastAsia="ko-KR"/>
        </w:rPr>
        <w:t xml:space="preserve">principle that for UEs and IAB-MTs involved in inter-donor migration, </w:t>
      </w:r>
      <w:r w:rsidR="00582346">
        <w:rPr>
          <w:rFonts w:ascii="Calibri" w:eastAsia="Malgun Gothic" w:hAnsi="Calibri" w:cs="Batang"/>
          <w:lang w:val="en-GB" w:eastAsia="ko-KR"/>
        </w:rPr>
        <w:t xml:space="preserve">any </w:t>
      </w:r>
      <w:r w:rsidR="00E92E84">
        <w:rPr>
          <w:rFonts w:ascii="Calibri" w:eastAsia="Malgun Gothic" w:hAnsi="Calibri" w:cs="Batang"/>
          <w:lang w:val="en-GB" w:eastAsia="ko-KR"/>
        </w:rPr>
        <w:t xml:space="preserve">security key updates can be provided </w:t>
      </w:r>
      <w:r w:rsidR="00582346">
        <w:rPr>
          <w:rFonts w:ascii="Calibri" w:eastAsia="Malgun Gothic" w:hAnsi="Calibri" w:cs="Batang"/>
          <w:lang w:val="en-GB" w:eastAsia="ko-KR"/>
        </w:rPr>
        <w:t xml:space="preserve">from the target IAB-donor </w:t>
      </w:r>
      <w:r w:rsidR="00E92E84">
        <w:rPr>
          <w:rFonts w:ascii="Calibri" w:eastAsia="Malgun Gothic" w:hAnsi="Calibri" w:cs="Batang"/>
          <w:lang w:val="en-GB" w:eastAsia="ko-KR"/>
        </w:rPr>
        <w:t xml:space="preserve">via </w:t>
      </w:r>
      <w:proofErr w:type="spellStart"/>
      <w:r w:rsidR="00E92E84">
        <w:rPr>
          <w:rFonts w:ascii="Calibri" w:eastAsia="Malgun Gothic" w:hAnsi="Calibri" w:cs="Batang"/>
          <w:lang w:val="en-GB" w:eastAsia="ko-KR"/>
        </w:rPr>
        <w:t>RRCReconfiguration</w:t>
      </w:r>
      <w:proofErr w:type="spellEnd"/>
      <w:r w:rsidR="00E92E84">
        <w:rPr>
          <w:rFonts w:ascii="Calibri" w:eastAsia="Malgun Gothic" w:hAnsi="Calibri" w:cs="Batang"/>
          <w:lang w:val="en-GB" w:eastAsia="ko-KR"/>
        </w:rPr>
        <w:t xml:space="preserve"> message</w:t>
      </w:r>
      <w:r w:rsidR="00467BD4">
        <w:rPr>
          <w:rFonts w:ascii="Calibri" w:eastAsia="Malgun Gothic" w:hAnsi="Calibri" w:cs="Batang"/>
          <w:lang w:val="en-GB" w:eastAsia="ko-KR"/>
        </w:rPr>
        <w:t xml:space="preserve"> through the migrating IAB-node. </w:t>
      </w:r>
      <w:r w:rsidR="000C02B7">
        <w:rPr>
          <w:rFonts w:ascii="Calibri" w:eastAsia="Malgun Gothic" w:hAnsi="Calibri" w:cs="Batang"/>
          <w:lang w:val="en-GB" w:eastAsia="ko-KR"/>
        </w:rPr>
        <w:t>Once this framework is agree</w:t>
      </w:r>
      <w:r w:rsidR="007E0AED">
        <w:rPr>
          <w:rFonts w:ascii="Calibri" w:eastAsia="Malgun Gothic" w:hAnsi="Calibri" w:cs="Batang"/>
          <w:lang w:val="en-GB" w:eastAsia="ko-KR"/>
        </w:rPr>
        <w:t>d,</w:t>
      </w:r>
      <w:r w:rsidR="000C02B7">
        <w:rPr>
          <w:rFonts w:ascii="Calibri" w:eastAsia="Malgun Gothic" w:hAnsi="Calibri" w:cs="Batang"/>
          <w:lang w:val="en-GB" w:eastAsia="ko-KR"/>
        </w:rPr>
        <w:t xml:space="preserve"> companies can provide detailed solutions for further discussion and decision. </w:t>
      </w:r>
    </w:p>
    <w:p w14:paraId="7CABBBB3" w14:textId="5FF31C5E" w:rsidR="006A1FFE" w:rsidRPr="006A1FFE" w:rsidRDefault="001B3B59" w:rsidP="00BE1C54">
      <w:pPr>
        <w:spacing w:before="240" w:after="240"/>
        <w:rPr>
          <w:rFonts w:ascii="Calibri" w:eastAsia="Malgun Gothic" w:hAnsi="Calibri" w:cs="Batang"/>
          <w:b/>
          <w:bCs/>
          <w:lang w:val="en-GB" w:eastAsia="ko-KR"/>
        </w:rPr>
      </w:pPr>
      <w:r>
        <w:rPr>
          <w:rFonts w:ascii="Calibri" w:eastAsia="Malgun Gothic" w:hAnsi="Calibri" w:cs="Batang"/>
          <w:b/>
          <w:bCs/>
          <w:lang w:val="en-GB" w:eastAsia="ko-KR"/>
        </w:rPr>
        <w:t xml:space="preserve">Proposal 3: </w:t>
      </w:r>
      <w:r w:rsidR="00B96F87">
        <w:rPr>
          <w:rFonts w:ascii="Calibri" w:eastAsia="Malgun Gothic" w:hAnsi="Calibri" w:cs="Batang"/>
          <w:b/>
          <w:bCs/>
          <w:lang w:val="en-GB" w:eastAsia="ko-KR"/>
        </w:rPr>
        <w:t xml:space="preserve">For </w:t>
      </w:r>
      <w:r>
        <w:rPr>
          <w:rFonts w:ascii="Calibri" w:eastAsia="Malgun Gothic" w:hAnsi="Calibri" w:cs="Batang"/>
          <w:b/>
          <w:bCs/>
          <w:lang w:val="en-GB" w:eastAsia="ko-KR"/>
        </w:rPr>
        <w:t xml:space="preserve">UEs and IAB-MTs associated with an inter-donor migrating IAB-node </w:t>
      </w:r>
      <w:r w:rsidR="006A1FFE" w:rsidRPr="006A1FFE">
        <w:rPr>
          <w:rFonts w:ascii="Calibri" w:eastAsia="Malgun Gothic" w:hAnsi="Calibri" w:cs="Batang"/>
          <w:b/>
          <w:bCs/>
          <w:lang w:val="en-GB" w:eastAsia="ko-KR"/>
        </w:rPr>
        <w:t>security key update</w:t>
      </w:r>
      <w:r w:rsidR="00E92E84">
        <w:rPr>
          <w:rFonts w:ascii="Calibri" w:eastAsia="Malgun Gothic" w:hAnsi="Calibri" w:cs="Batang"/>
          <w:b/>
          <w:bCs/>
          <w:lang w:val="en-GB" w:eastAsia="ko-KR"/>
        </w:rPr>
        <w:t>s</w:t>
      </w:r>
      <w:r w:rsidR="00B96F87">
        <w:rPr>
          <w:rFonts w:ascii="Calibri" w:eastAsia="Malgun Gothic" w:hAnsi="Calibri" w:cs="Batang"/>
          <w:b/>
          <w:bCs/>
          <w:lang w:val="en-GB" w:eastAsia="ko-KR"/>
        </w:rPr>
        <w:t xml:space="preserve"> should be provided</w:t>
      </w:r>
      <w:r w:rsidR="00E92E84">
        <w:rPr>
          <w:rFonts w:ascii="Calibri" w:eastAsia="Malgun Gothic" w:hAnsi="Calibri" w:cs="Batang"/>
          <w:b/>
          <w:bCs/>
          <w:lang w:val="en-GB" w:eastAsia="ko-KR"/>
        </w:rPr>
        <w:t xml:space="preserve"> </w:t>
      </w:r>
      <w:r w:rsidR="00582346">
        <w:rPr>
          <w:rFonts w:ascii="Calibri" w:eastAsia="Malgun Gothic" w:hAnsi="Calibri" w:cs="Batang"/>
          <w:b/>
          <w:bCs/>
          <w:lang w:val="en-GB" w:eastAsia="ko-KR"/>
        </w:rPr>
        <w:t xml:space="preserve">from </w:t>
      </w:r>
      <w:r w:rsidR="006A1FFE" w:rsidRPr="006A1FFE">
        <w:rPr>
          <w:rFonts w:ascii="Calibri" w:eastAsia="Malgun Gothic" w:hAnsi="Calibri" w:cs="Batang"/>
          <w:b/>
          <w:bCs/>
          <w:lang w:val="en-GB" w:eastAsia="ko-KR"/>
        </w:rPr>
        <w:t xml:space="preserve">the target IAB-donor node via </w:t>
      </w:r>
      <w:proofErr w:type="spellStart"/>
      <w:r w:rsidR="006A1FFE" w:rsidRPr="006A1FFE">
        <w:rPr>
          <w:rFonts w:ascii="Calibri" w:eastAsia="Malgun Gothic" w:hAnsi="Calibri" w:cs="Batang"/>
          <w:b/>
          <w:bCs/>
          <w:lang w:val="en-GB" w:eastAsia="ko-KR"/>
        </w:rPr>
        <w:t>RRCReconfiguration</w:t>
      </w:r>
      <w:proofErr w:type="spellEnd"/>
      <w:r w:rsidR="006A1FFE" w:rsidRPr="006A1FFE">
        <w:rPr>
          <w:rFonts w:ascii="Calibri" w:eastAsia="Malgun Gothic" w:hAnsi="Calibri" w:cs="Batang"/>
          <w:b/>
          <w:bCs/>
          <w:lang w:val="en-GB" w:eastAsia="ko-KR"/>
        </w:rPr>
        <w:t xml:space="preserve"> message</w:t>
      </w:r>
      <w:r w:rsidR="00467BD4">
        <w:rPr>
          <w:rFonts w:ascii="Calibri" w:eastAsia="Malgun Gothic" w:hAnsi="Calibri" w:cs="Batang"/>
          <w:b/>
          <w:bCs/>
          <w:lang w:val="en-GB" w:eastAsia="ko-KR"/>
        </w:rPr>
        <w:t xml:space="preserve"> through the migrating IAB-node</w:t>
      </w:r>
      <w:r w:rsidR="006A1FFE" w:rsidRPr="006A1FFE">
        <w:rPr>
          <w:rFonts w:ascii="Calibri" w:eastAsia="Malgun Gothic" w:hAnsi="Calibri" w:cs="Batang"/>
          <w:b/>
          <w:bCs/>
          <w:lang w:val="en-GB" w:eastAsia="ko-KR"/>
        </w:rPr>
        <w:t xml:space="preserve">. Specific details of the procedure are FFS. </w:t>
      </w:r>
    </w:p>
    <w:p w14:paraId="2097D18C" w14:textId="728B0351" w:rsidR="00B3454C" w:rsidRDefault="00F97F79" w:rsidP="00F97F79">
      <w:pPr>
        <w:jc w:val="center"/>
        <w:rPr>
          <w:rFonts w:ascii="Calibri" w:eastAsia="Malgun Gothic" w:hAnsi="Calibri" w:cs="Batang"/>
          <w:lang w:val="en-GB" w:eastAsia="ko-KR"/>
        </w:rPr>
      </w:pPr>
      <w:r>
        <w:rPr>
          <w:rFonts w:ascii="Calibri" w:eastAsia="Malgun Gothic" w:hAnsi="Calibri" w:cs="Batang"/>
          <w:noProof/>
          <w:lang w:val="en-GB" w:eastAsia="ko-KR"/>
        </w:rPr>
        <w:lastRenderedPageBreak/>
        <w:drawing>
          <wp:inline distT="0" distB="0" distL="0" distR="0" wp14:anchorId="1C33655A" wp14:editId="79B9E5D6">
            <wp:extent cx="2616200" cy="24216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4656" cy="2447943"/>
                    </a:xfrm>
                    <a:prstGeom prst="rect">
                      <a:avLst/>
                    </a:prstGeom>
                    <a:noFill/>
                  </pic:spPr>
                </pic:pic>
              </a:graphicData>
            </a:graphic>
          </wp:inline>
        </w:drawing>
      </w:r>
    </w:p>
    <w:p w14:paraId="5A0B3EC0" w14:textId="4AD75D60" w:rsidR="00F97F79" w:rsidRDefault="00F97F79" w:rsidP="00F97F79">
      <w:pPr>
        <w:jc w:val="center"/>
        <w:rPr>
          <w:rFonts w:ascii="Calibri" w:eastAsia="Malgun Gothic" w:hAnsi="Calibri" w:cs="Batang"/>
          <w:lang w:val="en-GB" w:eastAsia="ko-KR"/>
        </w:rPr>
      </w:pPr>
      <w:r>
        <w:rPr>
          <w:rFonts w:ascii="Calibri" w:eastAsia="Malgun Gothic" w:hAnsi="Calibri" w:cs="Batang"/>
          <w:lang w:val="en-GB" w:eastAsia="ko-KR"/>
        </w:rPr>
        <w:t>Figure 1: Inter-donor IAB-node migration</w:t>
      </w:r>
    </w:p>
    <w:p w14:paraId="69F73514" w14:textId="4BBC2A37" w:rsidR="00E905A5" w:rsidRDefault="00E905A5" w:rsidP="00E07DCB">
      <w:pPr>
        <w:rPr>
          <w:rFonts w:ascii="Calibri" w:eastAsia="Malgun Gothic" w:hAnsi="Calibri" w:cs="Batang"/>
          <w:lang w:val="en-GB" w:eastAsia="ko-KR"/>
        </w:rPr>
      </w:pPr>
    </w:p>
    <w:p w14:paraId="0CAC53AE" w14:textId="16F3715F" w:rsidR="00E905A5" w:rsidRDefault="00733EB9" w:rsidP="00E905A5">
      <w:pPr>
        <w:pStyle w:val="Heading2"/>
        <w:rPr>
          <w:rFonts w:eastAsia="Malgun Gothic"/>
          <w:lang w:val="en-GB" w:eastAsia="ko-KR"/>
        </w:rPr>
      </w:pPr>
      <w:r>
        <w:rPr>
          <w:rFonts w:eastAsia="Malgun Gothic"/>
          <w:lang w:val="en-GB" w:eastAsia="ko-KR"/>
        </w:rPr>
        <w:t>Group signalling</w:t>
      </w:r>
      <w:r w:rsidR="006A685D">
        <w:rPr>
          <w:rFonts w:eastAsia="Malgun Gothic"/>
          <w:lang w:val="en-GB" w:eastAsia="ko-KR"/>
        </w:rPr>
        <w:t xml:space="preserve"> principle</w:t>
      </w:r>
    </w:p>
    <w:p w14:paraId="62779EB8" w14:textId="165885B5" w:rsidR="006A7067" w:rsidRDefault="00733EB9" w:rsidP="00BE1C54">
      <w:pPr>
        <w:spacing w:before="240" w:after="0"/>
        <w:rPr>
          <w:rFonts w:ascii="Calibri" w:eastAsia="Malgun Gothic" w:hAnsi="Calibri" w:cs="Batang"/>
          <w:lang w:val="en-GB" w:eastAsia="ko-KR"/>
        </w:rPr>
      </w:pPr>
      <w:r>
        <w:rPr>
          <w:rFonts w:ascii="Calibri" w:eastAsia="Malgun Gothic" w:hAnsi="Calibri" w:cs="Batang"/>
          <w:lang w:val="en-GB" w:eastAsia="ko-KR"/>
        </w:rPr>
        <w:t xml:space="preserve">During the RAN3#109-e meeting there was some discussion about how group signalling could </w:t>
      </w:r>
      <w:r w:rsidR="00E035F3">
        <w:rPr>
          <w:rFonts w:ascii="Calibri" w:eastAsia="Malgun Gothic" w:hAnsi="Calibri" w:cs="Batang"/>
          <w:lang w:val="en-GB" w:eastAsia="ko-KR"/>
        </w:rPr>
        <w:t>be designed to reduce the number of signalling messages</w:t>
      </w:r>
      <w:r w:rsidR="00EA5BBD">
        <w:rPr>
          <w:rFonts w:ascii="Calibri" w:eastAsia="Malgun Gothic" w:hAnsi="Calibri" w:cs="Batang"/>
          <w:lang w:val="en-GB" w:eastAsia="ko-KR"/>
        </w:rPr>
        <w:t xml:space="preserve">. </w:t>
      </w:r>
      <w:r w:rsidR="00F73816">
        <w:rPr>
          <w:rFonts w:ascii="Calibri" w:eastAsia="Malgun Gothic" w:hAnsi="Calibri" w:cs="Batang"/>
          <w:lang w:val="en-GB" w:eastAsia="ko-KR"/>
        </w:rPr>
        <w:t xml:space="preserve">One of the issues with the proposed solutions was that </w:t>
      </w:r>
      <w:r w:rsidR="001119AB">
        <w:rPr>
          <w:rFonts w:ascii="Calibri" w:eastAsia="Malgun Gothic" w:hAnsi="Calibri" w:cs="Batang"/>
          <w:lang w:val="en-GB" w:eastAsia="ko-KR"/>
        </w:rPr>
        <w:t>individual messages from current signalling procedures were</w:t>
      </w:r>
      <w:r w:rsidR="00F73816">
        <w:rPr>
          <w:rFonts w:ascii="Calibri" w:eastAsia="Malgun Gothic" w:hAnsi="Calibri" w:cs="Batang"/>
          <w:lang w:val="en-GB" w:eastAsia="ko-KR"/>
        </w:rPr>
        <w:t xml:space="preserve"> simply concatenated t</w:t>
      </w:r>
      <w:r w:rsidR="001119AB">
        <w:rPr>
          <w:rFonts w:ascii="Calibri" w:eastAsia="Malgun Gothic" w:hAnsi="Calibri" w:cs="Batang"/>
          <w:lang w:val="en-GB" w:eastAsia="ko-KR"/>
        </w:rPr>
        <w:t>o produce group signalling messages</w:t>
      </w:r>
      <w:r w:rsidR="00F73816">
        <w:rPr>
          <w:rFonts w:ascii="Calibri" w:eastAsia="Malgun Gothic" w:hAnsi="Calibri" w:cs="Batang"/>
          <w:lang w:val="en-GB" w:eastAsia="ko-KR"/>
        </w:rPr>
        <w:t>. So</w:t>
      </w:r>
      <w:r w:rsidR="00AF7486">
        <w:rPr>
          <w:rFonts w:ascii="Calibri" w:eastAsia="Malgun Gothic" w:hAnsi="Calibri" w:cs="Batang"/>
          <w:lang w:val="en-GB" w:eastAsia="ko-KR"/>
        </w:rPr>
        <w:t>,</w:t>
      </w:r>
      <w:r w:rsidR="00F73816">
        <w:rPr>
          <w:rFonts w:ascii="Calibri" w:eastAsia="Malgun Gothic" w:hAnsi="Calibri" w:cs="Batang"/>
          <w:lang w:val="en-GB" w:eastAsia="ko-KR"/>
        </w:rPr>
        <w:t xml:space="preserve"> while the total number of signalling messages generated as a result of an inter-donor IAB-node migration event </w:t>
      </w:r>
      <w:r w:rsidR="001119AB">
        <w:rPr>
          <w:rFonts w:ascii="Calibri" w:eastAsia="Malgun Gothic" w:hAnsi="Calibri" w:cs="Batang"/>
          <w:lang w:val="en-GB" w:eastAsia="ko-KR"/>
        </w:rPr>
        <w:t>could</w:t>
      </w:r>
      <w:r w:rsidR="00F73816">
        <w:rPr>
          <w:rFonts w:ascii="Calibri" w:eastAsia="Malgun Gothic" w:hAnsi="Calibri" w:cs="Batang"/>
          <w:lang w:val="en-GB" w:eastAsia="ko-KR"/>
        </w:rPr>
        <w:t xml:space="preserve"> be significantly reduced, the total amount of data carried by the large group signalling message may still be the same as the sum of all the individual signalling messages. </w:t>
      </w:r>
    </w:p>
    <w:p w14:paraId="41DE2282" w14:textId="01ECE47B" w:rsidR="00BB7EC5" w:rsidRDefault="001119AB" w:rsidP="00BE1C54">
      <w:pPr>
        <w:spacing w:before="240" w:after="0"/>
        <w:rPr>
          <w:rFonts w:ascii="Calibri" w:eastAsia="Malgun Gothic" w:hAnsi="Calibri" w:cs="Batang"/>
          <w:lang w:val="en-GB" w:eastAsia="ko-KR"/>
        </w:rPr>
      </w:pPr>
      <w:r>
        <w:rPr>
          <w:rFonts w:ascii="Calibri" w:eastAsia="Malgun Gothic" w:hAnsi="Calibri" w:cs="Batang"/>
          <w:lang w:val="en-GB" w:eastAsia="ko-KR"/>
        </w:rPr>
        <w:t>Given that a significant number of information elements related to the serving cell of the UE/IAB-MTs associated with the migrating IAB-node would not change after inter-donor IAB-node migration, new group signalling messages c</w:t>
      </w:r>
      <w:r w:rsidR="00BB7EC5">
        <w:rPr>
          <w:rFonts w:ascii="Calibri" w:eastAsia="Malgun Gothic" w:hAnsi="Calibri" w:cs="Batang"/>
          <w:lang w:val="en-GB" w:eastAsia="ko-KR"/>
        </w:rPr>
        <w:t>ould</w:t>
      </w:r>
      <w:r>
        <w:rPr>
          <w:rFonts w:ascii="Calibri" w:eastAsia="Malgun Gothic" w:hAnsi="Calibri" w:cs="Batang"/>
          <w:lang w:val="en-GB" w:eastAsia="ko-KR"/>
        </w:rPr>
        <w:t xml:space="preserve"> be designed more efficiently</w:t>
      </w:r>
      <w:r w:rsidR="00C07A15">
        <w:rPr>
          <w:rFonts w:ascii="Calibri" w:eastAsia="Malgun Gothic" w:hAnsi="Calibri" w:cs="Batang"/>
          <w:lang w:val="en-GB" w:eastAsia="ko-KR"/>
        </w:rPr>
        <w:t>,</w:t>
      </w:r>
      <w:r>
        <w:rPr>
          <w:rFonts w:ascii="Calibri" w:eastAsia="Malgun Gothic" w:hAnsi="Calibri" w:cs="Batang"/>
          <w:lang w:val="en-GB" w:eastAsia="ko-KR"/>
        </w:rPr>
        <w:t xml:space="preserve"> s</w:t>
      </w:r>
      <w:r w:rsidR="00C07A15">
        <w:rPr>
          <w:rFonts w:ascii="Calibri" w:eastAsia="Malgun Gothic" w:hAnsi="Calibri" w:cs="Batang"/>
          <w:lang w:val="en-GB" w:eastAsia="ko-KR"/>
        </w:rPr>
        <w:t>o that</w:t>
      </w:r>
      <w:r w:rsidR="00BB7EC5">
        <w:rPr>
          <w:rFonts w:ascii="Calibri" w:eastAsia="Malgun Gothic" w:hAnsi="Calibri" w:cs="Batang"/>
          <w:lang w:val="en-GB" w:eastAsia="ko-KR"/>
        </w:rPr>
        <w:t xml:space="preserve"> </w:t>
      </w:r>
      <w:r w:rsidR="00C07A15">
        <w:rPr>
          <w:rFonts w:ascii="Calibri" w:eastAsia="Malgun Gothic" w:hAnsi="Calibri" w:cs="Batang"/>
          <w:lang w:val="en-GB" w:eastAsia="ko-KR"/>
        </w:rPr>
        <w:t>they are</w:t>
      </w:r>
      <w:r w:rsidR="00BB7EC5">
        <w:rPr>
          <w:rFonts w:ascii="Calibri" w:eastAsia="Malgun Gothic" w:hAnsi="Calibri" w:cs="Batang"/>
          <w:lang w:val="en-GB" w:eastAsia="ko-KR"/>
        </w:rPr>
        <w:t xml:space="preserve"> not simply concatenated versions of</w:t>
      </w:r>
      <w:r w:rsidR="00C07A15">
        <w:rPr>
          <w:rFonts w:ascii="Calibri" w:eastAsia="Malgun Gothic" w:hAnsi="Calibri" w:cs="Batang"/>
          <w:lang w:val="en-GB" w:eastAsia="ko-KR"/>
        </w:rPr>
        <w:t xml:space="preserve"> entire</w:t>
      </w:r>
      <w:r w:rsidR="00BB7EC5">
        <w:rPr>
          <w:rFonts w:ascii="Calibri" w:eastAsia="Malgun Gothic" w:hAnsi="Calibri" w:cs="Batang"/>
          <w:lang w:val="en-GB" w:eastAsia="ko-KR"/>
        </w:rPr>
        <w:t xml:space="preserve"> individual signalling messages. </w:t>
      </w:r>
      <w:r w:rsidR="00725C40">
        <w:rPr>
          <w:rFonts w:ascii="Calibri" w:eastAsia="Malgun Gothic" w:hAnsi="Calibri" w:cs="Batang"/>
          <w:lang w:val="en-GB" w:eastAsia="ko-KR"/>
        </w:rPr>
        <w:t xml:space="preserve">For example, each </w:t>
      </w:r>
      <w:proofErr w:type="spellStart"/>
      <w:r w:rsidR="00725C40">
        <w:rPr>
          <w:rFonts w:ascii="Calibri" w:eastAsia="Malgun Gothic" w:hAnsi="Calibri" w:cs="Batang"/>
          <w:lang w:val="en-GB" w:eastAsia="ko-KR"/>
        </w:rPr>
        <w:t>RRCReconfiguration</w:t>
      </w:r>
      <w:proofErr w:type="spellEnd"/>
      <w:r w:rsidR="00725C40">
        <w:rPr>
          <w:rFonts w:ascii="Calibri" w:eastAsia="Malgun Gothic" w:hAnsi="Calibri" w:cs="Batang"/>
          <w:lang w:val="en-GB" w:eastAsia="ko-KR"/>
        </w:rPr>
        <w:t xml:space="preserve"> message could be significantly shorter, updating only </w:t>
      </w:r>
      <w:r w:rsidR="007E0AED">
        <w:rPr>
          <w:rFonts w:ascii="Calibri" w:eastAsia="Malgun Gothic" w:hAnsi="Calibri" w:cs="Batang"/>
          <w:lang w:val="en-GB" w:eastAsia="ko-KR"/>
        </w:rPr>
        <w:t>a subset of</w:t>
      </w:r>
      <w:r w:rsidR="00725C40">
        <w:rPr>
          <w:rFonts w:ascii="Calibri" w:eastAsia="Malgun Gothic" w:hAnsi="Calibri" w:cs="Batang"/>
          <w:lang w:val="en-GB" w:eastAsia="ko-KR"/>
        </w:rPr>
        <w:t xml:space="preserve"> parameters. </w:t>
      </w:r>
      <w:r w:rsidR="00BB7EC5">
        <w:rPr>
          <w:rFonts w:ascii="Calibri" w:eastAsia="Malgun Gothic" w:hAnsi="Calibri" w:cs="Batang"/>
          <w:lang w:val="en-GB" w:eastAsia="ko-KR"/>
        </w:rPr>
        <w:t>Furthermore,</w:t>
      </w:r>
      <w:r w:rsidR="007E0AED">
        <w:rPr>
          <w:rFonts w:ascii="Calibri" w:eastAsia="Malgun Gothic" w:hAnsi="Calibri" w:cs="Batang"/>
          <w:lang w:val="en-GB" w:eastAsia="ko-KR"/>
        </w:rPr>
        <w:t xml:space="preserve"> </w:t>
      </w:r>
      <w:r w:rsidR="00BB7EC5">
        <w:rPr>
          <w:rFonts w:ascii="Calibri" w:eastAsia="Malgun Gothic" w:hAnsi="Calibri" w:cs="Batang"/>
          <w:lang w:val="en-GB" w:eastAsia="ko-KR"/>
        </w:rPr>
        <w:t xml:space="preserve">in order to minimize impact to legacy UEs, group signalling messages could </w:t>
      </w:r>
      <w:r w:rsidR="007E0AED">
        <w:rPr>
          <w:rFonts w:ascii="Calibri" w:eastAsia="Malgun Gothic" w:hAnsi="Calibri" w:cs="Batang"/>
          <w:lang w:val="en-GB" w:eastAsia="ko-KR"/>
        </w:rPr>
        <w:t xml:space="preserve">potentially </w:t>
      </w:r>
      <w:r w:rsidR="00BB7EC5">
        <w:rPr>
          <w:rFonts w:ascii="Calibri" w:eastAsia="Malgun Gothic" w:hAnsi="Calibri" w:cs="Batang"/>
          <w:lang w:val="en-GB" w:eastAsia="ko-KR"/>
        </w:rPr>
        <w:t>be limited to signalling between the migrating IAB-</w:t>
      </w:r>
      <w:r w:rsidR="007E0AED">
        <w:rPr>
          <w:rFonts w:ascii="Calibri" w:eastAsia="Malgun Gothic" w:hAnsi="Calibri" w:cs="Batang"/>
          <w:lang w:val="en-GB" w:eastAsia="ko-KR"/>
        </w:rPr>
        <w:t>node</w:t>
      </w:r>
      <w:r w:rsidR="00BB7EC5">
        <w:rPr>
          <w:rFonts w:ascii="Calibri" w:eastAsia="Malgun Gothic" w:hAnsi="Calibri" w:cs="Batang"/>
          <w:lang w:val="en-GB" w:eastAsia="ko-KR"/>
        </w:rPr>
        <w:t xml:space="preserve"> and IAB-donor nodes. </w:t>
      </w:r>
      <w:r w:rsidR="00FD3BDF">
        <w:rPr>
          <w:rFonts w:ascii="Calibri" w:eastAsia="Malgun Gothic" w:hAnsi="Calibri" w:cs="Batang"/>
          <w:lang w:val="en-GB" w:eastAsia="ko-KR"/>
        </w:rPr>
        <w:t>For example, there could be design differences depending upon awareness of group mobility</w:t>
      </w:r>
      <w:r w:rsidR="00247511">
        <w:rPr>
          <w:rFonts w:ascii="Calibri" w:eastAsia="Malgun Gothic" w:hAnsi="Calibri" w:cs="Batang"/>
          <w:lang w:val="en-GB" w:eastAsia="ko-KR"/>
        </w:rPr>
        <w:t xml:space="preserve"> within the topology</w:t>
      </w:r>
      <w:r w:rsidR="00FD3BDF">
        <w:rPr>
          <w:rFonts w:ascii="Calibri" w:eastAsia="Malgun Gothic" w:hAnsi="Calibri" w:cs="Batang"/>
          <w:lang w:val="en-GB" w:eastAsia="ko-KR"/>
        </w:rPr>
        <w:t xml:space="preserve">. Design choices may need to be made </w:t>
      </w:r>
      <w:r w:rsidR="00247511">
        <w:rPr>
          <w:rFonts w:ascii="Calibri" w:eastAsia="Malgun Gothic" w:hAnsi="Calibri" w:cs="Batang"/>
          <w:lang w:val="en-GB" w:eastAsia="ko-KR"/>
        </w:rPr>
        <w:t>about how many nodes in the topology</w:t>
      </w:r>
      <w:r w:rsidR="00FD3BDF">
        <w:rPr>
          <w:rFonts w:ascii="Calibri" w:eastAsia="Malgun Gothic" w:hAnsi="Calibri" w:cs="Batang"/>
          <w:lang w:val="en-GB" w:eastAsia="ko-KR"/>
        </w:rPr>
        <w:t xml:space="preserve"> are aware of the group mobility procedure</w:t>
      </w:r>
      <w:r w:rsidR="00247511">
        <w:rPr>
          <w:rFonts w:ascii="Calibri" w:eastAsia="Malgun Gothic" w:hAnsi="Calibri" w:cs="Batang"/>
          <w:lang w:val="en-GB" w:eastAsia="ko-KR"/>
        </w:rPr>
        <w:t xml:space="preserve"> vs. a fully transparent approach</w:t>
      </w:r>
      <w:r w:rsidR="00FD3BDF">
        <w:rPr>
          <w:rFonts w:ascii="Calibri" w:eastAsia="Malgun Gothic" w:hAnsi="Calibri" w:cs="Batang"/>
          <w:lang w:val="en-GB" w:eastAsia="ko-KR"/>
        </w:rPr>
        <w:t>. None of t</w:t>
      </w:r>
      <w:r w:rsidR="00BB7EC5">
        <w:rPr>
          <w:rFonts w:ascii="Calibri" w:eastAsia="Malgun Gothic" w:hAnsi="Calibri" w:cs="Batang"/>
          <w:lang w:val="en-GB" w:eastAsia="ko-KR"/>
        </w:rPr>
        <w:t>his need</w:t>
      </w:r>
      <w:r w:rsidR="00FD3BDF">
        <w:rPr>
          <w:rFonts w:ascii="Calibri" w:eastAsia="Malgun Gothic" w:hAnsi="Calibri" w:cs="Batang"/>
          <w:lang w:val="en-GB" w:eastAsia="ko-KR"/>
        </w:rPr>
        <w:t>s</w:t>
      </w:r>
      <w:r w:rsidR="00BB7EC5">
        <w:rPr>
          <w:rFonts w:ascii="Calibri" w:eastAsia="Malgun Gothic" w:hAnsi="Calibri" w:cs="Batang"/>
          <w:lang w:val="en-GB" w:eastAsia="ko-KR"/>
        </w:rPr>
        <w:t xml:space="preserve"> to be decided right now. Details of group signalling could be decided at a later stage. What is more important to decide currently, is </w:t>
      </w:r>
      <w:r w:rsidR="00AF7486">
        <w:rPr>
          <w:rFonts w:ascii="Calibri" w:eastAsia="Malgun Gothic" w:hAnsi="Calibri" w:cs="Batang"/>
          <w:lang w:val="en-GB" w:eastAsia="ko-KR"/>
        </w:rPr>
        <w:t>the framework principle that group signalling for migration of inter-donor migration of UEs and IAB-MTs</w:t>
      </w:r>
      <w:r w:rsidR="00C07A15">
        <w:rPr>
          <w:rFonts w:ascii="Calibri" w:eastAsia="Malgun Gothic" w:hAnsi="Calibri" w:cs="Batang"/>
          <w:lang w:val="en-GB" w:eastAsia="ko-KR"/>
        </w:rPr>
        <w:t xml:space="preserve"> should</w:t>
      </w:r>
      <w:r w:rsidR="00AF7486">
        <w:rPr>
          <w:rFonts w:ascii="Calibri" w:eastAsia="Malgun Gothic" w:hAnsi="Calibri" w:cs="Batang"/>
          <w:lang w:val="en-GB" w:eastAsia="ko-KR"/>
        </w:rPr>
        <w:t xml:space="preserve"> be constructed in a more efficient manner than simple concatenation of individual signalling messages. Companies would be free to propose detailed solution</w:t>
      </w:r>
      <w:r w:rsidR="007E0AED">
        <w:rPr>
          <w:rFonts w:ascii="Calibri" w:eastAsia="Malgun Gothic" w:hAnsi="Calibri" w:cs="Batang"/>
          <w:lang w:val="en-GB" w:eastAsia="ko-KR"/>
        </w:rPr>
        <w:t>s</w:t>
      </w:r>
      <w:r w:rsidR="00AF7486">
        <w:rPr>
          <w:rFonts w:ascii="Calibri" w:eastAsia="Malgun Gothic" w:hAnsi="Calibri" w:cs="Batang"/>
          <w:lang w:val="en-GB" w:eastAsia="ko-KR"/>
        </w:rPr>
        <w:t xml:space="preserve"> within this framework at future meetings. </w:t>
      </w:r>
    </w:p>
    <w:p w14:paraId="2440E875" w14:textId="25D9ED6C" w:rsidR="001615F4" w:rsidRDefault="00F13A40" w:rsidP="00BE1C54">
      <w:pPr>
        <w:spacing w:before="240" w:after="0"/>
        <w:rPr>
          <w:rFonts w:ascii="Calibri" w:eastAsia="Malgun Gothic" w:hAnsi="Calibri" w:cs="Batang"/>
          <w:b/>
          <w:lang w:val="en-GB" w:eastAsia="ko-KR"/>
        </w:rPr>
      </w:pPr>
      <w:r>
        <w:rPr>
          <w:rFonts w:ascii="Calibri" w:eastAsia="Malgun Gothic" w:hAnsi="Calibri" w:cs="Batang"/>
          <w:b/>
          <w:lang w:val="en-GB" w:eastAsia="ko-KR"/>
        </w:rPr>
        <w:t xml:space="preserve">Proposal </w:t>
      </w:r>
      <w:r w:rsidR="00AF7486">
        <w:rPr>
          <w:rFonts w:ascii="Calibri" w:eastAsia="Malgun Gothic" w:hAnsi="Calibri" w:cs="Batang"/>
          <w:b/>
          <w:lang w:val="en-GB" w:eastAsia="ko-KR"/>
        </w:rPr>
        <w:t>4</w:t>
      </w:r>
      <w:r w:rsidRPr="00C5283A">
        <w:rPr>
          <w:rFonts w:ascii="Calibri" w:eastAsia="Malgun Gothic" w:hAnsi="Calibri" w:cs="Batang"/>
          <w:b/>
          <w:lang w:val="en-GB" w:eastAsia="ko-KR"/>
        </w:rPr>
        <w:t xml:space="preserve">: </w:t>
      </w:r>
      <w:r w:rsidR="00725C40">
        <w:rPr>
          <w:rFonts w:ascii="Calibri" w:eastAsia="Malgun Gothic" w:hAnsi="Calibri" w:cs="Batang"/>
          <w:b/>
          <w:lang w:val="en-GB" w:eastAsia="ko-KR"/>
        </w:rPr>
        <w:t xml:space="preserve">Group signalling messages </w:t>
      </w:r>
      <w:r w:rsidR="009159CC">
        <w:rPr>
          <w:rFonts w:ascii="Calibri" w:eastAsia="Malgun Gothic" w:hAnsi="Calibri" w:cs="Batang"/>
          <w:b/>
          <w:lang w:val="en-GB" w:eastAsia="ko-KR"/>
        </w:rPr>
        <w:t xml:space="preserve">designed </w:t>
      </w:r>
      <w:r w:rsidR="00725C40">
        <w:rPr>
          <w:rFonts w:ascii="Calibri" w:eastAsia="Malgun Gothic" w:hAnsi="Calibri" w:cs="Batang"/>
          <w:b/>
          <w:lang w:val="en-GB" w:eastAsia="ko-KR"/>
        </w:rPr>
        <w:t xml:space="preserve">for inter-donor migration of UEs/IAB-MTs </w:t>
      </w:r>
      <w:r w:rsidR="009159CC">
        <w:rPr>
          <w:rFonts w:ascii="Calibri" w:eastAsia="Malgun Gothic" w:hAnsi="Calibri" w:cs="Batang"/>
          <w:b/>
          <w:lang w:val="en-GB" w:eastAsia="ko-KR"/>
        </w:rPr>
        <w:t>should be more efficient than simple concatenation of entire individual signalling messages</w:t>
      </w:r>
      <w:r w:rsidRPr="00C5283A">
        <w:rPr>
          <w:rFonts w:ascii="Calibri" w:eastAsia="Malgun Gothic" w:hAnsi="Calibri" w:cs="Batang"/>
          <w:b/>
          <w:lang w:val="en-GB" w:eastAsia="ko-KR"/>
        </w:rPr>
        <w:t>.</w:t>
      </w:r>
      <w:r w:rsidR="006D4856">
        <w:rPr>
          <w:rFonts w:ascii="Calibri" w:eastAsia="Malgun Gothic" w:hAnsi="Calibri" w:cs="Batang"/>
          <w:b/>
          <w:lang w:val="en-GB" w:eastAsia="ko-KR"/>
        </w:rPr>
        <w:t xml:space="preserve"> Further details of group signalling solutions </w:t>
      </w:r>
      <w:r w:rsidR="006C6366">
        <w:rPr>
          <w:rFonts w:ascii="Calibri" w:eastAsia="Malgun Gothic" w:hAnsi="Calibri" w:cs="Batang"/>
          <w:b/>
          <w:lang w:val="en-GB" w:eastAsia="ko-KR"/>
        </w:rPr>
        <w:t xml:space="preserve">and the level of </w:t>
      </w:r>
      <w:r w:rsidR="006C6366" w:rsidRPr="00476836">
        <w:rPr>
          <w:rFonts w:ascii="Calibri" w:eastAsia="Malgun Gothic" w:hAnsi="Calibri" w:cs="Batang"/>
          <w:b/>
          <w:bCs/>
          <w:lang w:val="en-GB" w:eastAsia="ko-KR"/>
        </w:rPr>
        <w:t>awareness of group mobility within the topology</w:t>
      </w:r>
      <w:r w:rsidR="006C6366">
        <w:rPr>
          <w:rFonts w:ascii="Calibri" w:eastAsia="Malgun Gothic" w:hAnsi="Calibri" w:cs="Batang"/>
          <w:b/>
          <w:lang w:val="en-GB" w:eastAsia="ko-KR"/>
        </w:rPr>
        <w:t xml:space="preserve"> </w:t>
      </w:r>
      <w:r w:rsidR="006D4856">
        <w:rPr>
          <w:rFonts w:ascii="Calibri" w:eastAsia="Malgun Gothic" w:hAnsi="Calibri" w:cs="Batang"/>
          <w:b/>
          <w:lang w:val="en-GB" w:eastAsia="ko-KR"/>
        </w:rPr>
        <w:t>are FFS.</w:t>
      </w:r>
    </w:p>
    <w:p w14:paraId="6922A65F"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14:paraId="71556A7E" w14:textId="14DEF98D" w:rsidR="004A7002" w:rsidRPr="001B2250" w:rsidRDefault="00A92669" w:rsidP="003C7FBF">
      <w:pPr>
        <w:pStyle w:val="maintext"/>
        <w:spacing w:line="240" w:lineRule="auto"/>
        <w:ind w:firstLineChars="0" w:firstLine="0"/>
        <w:rPr>
          <w:rFonts w:ascii="Calibri" w:hAnsi="Calibri"/>
        </w:rPr>
      </w:pPr>
      <w:r>
        <w:rPr>
          <w:rFonts w:ascii="Calibri" w:hAnsi="Calibri"/>
        </w:rPr>
        <w:t>T</w:t>
      </w:r>
      <w:r w:rsidR="00F82906">
        <w:rPr>
          <w:rFonts w:ascii="Calibri" w:hAnsi="Calibri"/>
        </w:rPr>
        <w:t>his contribution</w:t>
      </w:r>
      <w:r w:rsidR="003C7FBF">
        <w:rPr>
          <w:rFonts w:ascii="Calibri" w:hAnsi="Calibri"/>
        </w:rPr>
        <w:t xml:space="preserve"> </w:t>
      </w:r>
      <w:r w:rsidR="0022193E">
        <w:rPr>
          <w:rFonts w:ascii="Calibri" w:hAnsi="Calibri"/>
        </w:rPr>
        <w:t>discusse</w:t>
      </w:r>
      <w:r w:rsidR="00235F55">
        <w:rPr>
          <w:rFonts w:ascii="Calibri" w:hAnsi="Calibri"/>
        </w:rPr>
        <w:t>d</w:t>
      </w:r>
      <w:r w:rsidR="0022193E">
        <w:rPr>
          <w:rFonts w:ascii="Calibri" w:hAnsi="Calibri"/>
        </w:rPr>
        <w:t xml:space="preserve"> </w:t>
      </w:r>
      <w:r w:rsidR="00356F4E">
        <w:rPr>
          <w:rFonts w:ascii="Calibri" w:hAnsi="Calibri"/>
        </w:rPr>
        <w:t>principle</w:t>
      </w:r>
      <w:r w:rsidR="00235F55">
        <w:rPr>
          <w:rFonts w:ascii="Calibri" w:hAnsi="Calibri"/>
        </w:rPr>
        <w:t>s</w:t>
      </w:r>
      <w:r w:rsidR="00356F4E">
        <w:rPr>
          <w:rFonts w:ascii="Calibri" w:hAnsi="Calibri"/>
        </w:rPr>
        <w:t xml:space="preserve"> of group mobility for inter-donor IAB-node migration. The following proposals were offered for consideration</w:t>
      </w:r>
      <w:r w:rsidR="00F82906">
        <w:rPr>
          <w:rFonts w:ascii="Calibri" w:hAnsi="Calibri"/>
        </w:rPr>
        <w:t>:</w:t>
      </w:r>
      <w:r w:rsidR="004A7002">
        <w:rPr>
          <w:rFonts w:ascii="Calibri" w:hAnsi="Calibri"/>
        </w:rPr>
        <w:t xml:space="preserve"> </w:t>
      </w:r>
    </w:p>
    <w:p w14:paraId="45B360FF" w14:textId="77777777" w:rsidR="006B05EC" w:rsidRPr="00300475" w:rsidRDefault="006B05EC" w:rsidP="006B05EC">
      <w:pPr>
        <w:spacing w:before="240" w:after="0"/>
        <w:rPr>
          <w:rFonts w:ascii="Calibri" w:eastAsia="Malgun Gothic" w:hAnsi="Calibri" w:cs="Batang"/>
          <w:b/>
          <w:bCs/>
          <w:lang w:val="en-GB" w:eastAsia="ko-KR"/>
        </w:rPr>
      </w:pPr>
      <w:r w:rsidRPr="00300475">
        <w:rPr>
          <w:rFonts w:ascii="Calibri" w:eastAsia="Malgun Gothic" w:hAnsi="Calibri" w:cs="Batang"/>
          <w:b/>
          <w:bCs/>
          <w:lang w:val="en-GB" w:eastAsia="ko-KR"/>
        </w:rPr>
        <w:t xml:space="preserve">Proposal 1: Even though current signalling procedures have been agreed as baseline for inter-donor migration of UEs and IAB-MTs, due to significant potential of current procedures to overwhelm the network, and keeping in line with the work item objective of reducing signalling load, enhancements shall be introduced in Rel-17 to minimize the signalling and procedures needed for inter-donor IAB-node migration. </w:t>
      </w:r>
    </w:p>
    <w:p w14:paraId="413925BB" w14:textId="77777777" w:rsidR="006B05EC" w:rsidRDefault="006B05EC" w:rsidP="006B05EC">
      <w:pPr>
        <w:spacing w:before="240" w:after="240"/>
        <w:rPr>
          <w:rFonts w:ascii="Calibri" w:eastAsia="Malgun Gothic" w:hAnsi="Calibri" w:cs="Batang"/>
          <w:b/>
          <w:bCs/>
          <w:lang w:val="en-GB" w:eastAsia="ko-KR"/>
        </w:rPr>
      </w:pPr>
      <w:r w:rsidRPr="006A1FFE">
        <w:rPr>
          <w:rFonts w:ascii="Calibri" w:eastAsia="Malgun Gothic" w:hAnsi="Calibri" w:cs="Batang"/>
          <w:b/>
          <w:bCs/>
          <w:lang w:val="en-GB" w:eastAsia="ko-KR"/>
        </w:rPr>
        <w:lastRenderedPageBreak/>
        <w:t xml:space="preserve">Proposal 2: UEs and IAB-MTs associated </w:t>
      </w:r>
      <w:r>
        <w:rPr>
          <w:rFonts w:ascii="Calibri" w:eastAsia="Malgun Gothic" w:hAnsi="Calibri" w:cs="Batang"/>
          <w:b/>
          <w:bCs/>
          <w:lang w:val="en-GB" w:eastAsia="ko-KR"/>
        </w:rPr>
        <w:t>with an inter-donor migrating IAB-node should be able</w:t>
      </w:r>
      <w:r w:rsidRPr="006A1FFE">
        <w:rPr>
          <w:rFonts w:ascii="Calibri" w:eastAsia="Malgun Gothic" w:hAnsi="Calibri" w:cs="Batang"/>
          <w:b/>
          <w:bCs/>
          <w:lang w:val="en-GB" w:eastAsia="ko-KR"/>
        </w:rPr>
        <w:t xml:space="preserve"> to avoid the RACH procedure</w:t>
      </w:r>
      <w:r>
        <w:rPr>
          <w:rFonts w:ascii="Calibri" w:eastAsia="Malgun Gothic" w:hAnsi="Calibri" w:cs="Batang"/>
          <w:b/>
          <w:bCs/>
          <w:lang w:val="en-GB" w:eastAsia="ko-KR"/>
        </w:rPr>
        <w:t xml:space="preserve"> and handover-related measurements.</w:t>
      </w:r>
    </w:p>
    <w:p w14:paraId="2A5E5AEF" w14:textId="77777777" w:rsidR="00467BD4" w:rsidRPr="006A1FFE" w:rsidRDefault="00467BD4" w:rsidP="00467BD4">
      <w:pPr>
        <w:spacing w:before="240" w:after="240"/>
        <w:rPr>
          <w:rFonts w:ascii="Calibri" w:eastAsia="Malgun Gothic" w:hAnsi="Calibri" w:cs="Batang"/>
          <w:b/>
          <w:bCs/>
          <w:lang w:val="en-GB" w:eastAsia="ko-KR"/>
        </w:rPr>
      </w:pPr>
      <w:r>
        <w:rPr>
          <w:rFonts w:ascii="Calibri" w:eastAsia="Malgun Gothic" w:hAnsi="Calibri" w:cs="Batang"/>
          <w:b/>
          <w:bCs/>
          <w:lang w:val="en-GB" w:eastAsia="ko-KR"/>
        </w:rPr>
        <w:t xml:space="preserve">Proposal 3: For UEs and IAB-MTs associated with an inter-donor migrating IAB-node </w:t>
      </w:r>
      <w:r w:rsidRPr="006A1FFE">
        <w:rPr>
          <w:rFonts w:ascii="Calibri" w:eastAsia="Malgun Gothic" w:hAnsi="Calibri" w:cs="Batang"/>
          <w:b/>
          <w:bCs/>
          <w:lang w:val="en-GB" w:eastAsia="ko-KR"/>
        </w:rPr>
        <w:t>security key update</w:t>
      </w:r>
      <w:r>
        <w:rPr>
          <w:rFonts w:ascii="Calibri" w:eastAsia="Malgun Gothic" w:hAnsi="Calibri" w:cs="Batang"/>
          <w:b/>
          <w:bCs/>
          <w:lang w:val="en-GB" w:eastAsia="ko-KR"/>
        </w:rPr>
        <w:t xml:space="preserve">s should be provided from </w:t>
      </w:r>
      <w:r w:rsidRPr="006A1FFE">
        <w:rPr>
          <w:rFonts w:ascii="Calibri" w:eastAsia="Malgun Gothic" w:hAnsi="Calibri" w:cs="Batang"/>
          <w:b/>
          <w:bCs/>
          <w:lang w:val="en-GB" w:eastAsia="ko-KR"/>
        </w:rPr>
        <w:t xml:space="preserve">the target IAB-donor node via </w:t>
      </w:r>
      <w:proofErr w:type="spellStart"/>
      <w:r w:rsidRPr="006A1FFE">
        <w:rPr>
          <w:rFonts w:ascii="Calibri" w:eastAsia="Malgun Gothic" w:hAnsi="Calibri" w:cs="Batang"/>
          <w:b/>
          <w:bCs/>
          <w:lang w:val="en-GB" w:eastAsia="ko-KR"/>
        </w:rPr>
        <w:t>RRCReconfiguration</w:t>
      </w:r>
      <w:proofErr w:type="spellEnd"/>
      <w:r w:rsidRPr="006A1FFE">
        <w:rPr>
          <w:rFonts w:ascii="Calibri" w:eastAsia="Malgun Gothic" w:hAnsi="Calibri" w:cs="Batang"/>
          <w:b/>
          <w:bCs/>
          <w:lang w:val="en-GB" w:eastAsia="ko-KR"/>
        </w:rPr>
        <w:t xml:space="preserve"> message</w:t>
      </w:r>
      <w:r>
        <w:rPr>
          <w:rFonts w:ascii="Calibri" w:eastAsia="Malgun Gothic" w:hAnsi="Calibri" w:cs="Batang"/>
          <w:b/>
          <w:bCs/>
          <w:lang w:val="en-GB" w:eastAsia="ko-KR"/>
        </w:rPr>
        <w:t xml:space="preserve"> through the migrating IAB-node</w:t>
      </w:r>
      <w:r w:rsidRPr="006A1FFE">
        <w:rPr>
          <w:rFonts w:ascii="Calibri" w:eastAsia="Malgun Gothic" w:hAnsi="Calibri" w:cs="Batang"/>
          <w:b/>
          <w:bCs/>
          <w:lang w:val="en-GB" w:eastAsia="ko-KR"/>
        </w:rPr>
        <w:t xml:space="preserve">. Specific details of the procedure are FFS. </w:t>
      </w:r>
    </w:p>
    <w:p w14:paraId="0C209367" w14:textId="77777777" w:rsidR="00190605" w:rsidRDefault="00190605" w:rsidP="00190605">
      <w:pPr>
        <w:spacing w:before="240" w:after="0"/>
        <w:rPr>
          <w:rFonts w:ascii="Calibri" w:eastAsia="Malgun Gothic" w:hAnsi="Calibri" w:cs="Batang"/>
          <w:b/>
          <w:lang w:val="en-GB" w:eastAsia="ko-KR"/>
        </w:rPr>
      </w:pPr>
      <w:r>
        <w:rPr>
          <w:rFonts w:ascii="Calibri" w:eastAsia="Malgun Gothic" w:hAnsi="Calibri" w:cs="Batang"/>
          <w:b/>
          <w:lang w:val="en-GB" w:eastAsia="ko-KR"/>
        </w:rPr>
        <w:t>Proposal 4</w:t>
      </w:r>
      <w:r w:rsidRPr="00C5283A">
        <w:rPr>
          <w:rFonts w:ascii="Calibri" w:eastAsia="Malgun Gothic" w:hAnsi="Calibri" w:cs="Batang"/>
          <w:b/>
          <w:lang w:val="en-GB" w:eastAsia="ko-KR"/>
        </w:rPr>
        <w:t xml:space="preserve">: </w:t>
      </w:r>
      <w:r>
        <w:rPr>
          <w:rFonts w:ascii="Calibri" w:eastAsia="Malgun Gothic" w:hAnsi="Calibri" w:cs="Batang"/>
          <w:b/>
          <w:lang w:val="en-GB" w:eastAsia="ko-KR"/>
        </w:rPr>
        <w:t>Group signalling messages designed for inter-donor migration of UEs/IAB-MTs should be more efficient than simple concatenation of entire individual signalling messages</w:t>
      </w:r>
      <w:r w:rsidRPr="00C5283A">
        <w:rPr>
          <w:rFonts w:ascii="Calibri" w:eastAsia="Malgun Gothic" w:hAnsi="Calibri" w:cs="Batang"/>
          <w:b/>
          <w:lang w:val="en-GB" w:eastAsia="ko-KR"/>
        </w:rPr>
        <w:t>.</w:t>
      </w:r>
      <w:r>
        <w:rPr>
          <w:rFonts w:ascii="Calibri" w:eastAsia="Malgun Gothic" w:hAnsi="Calibri" w:cs="Batang"/>
          <w:b/>
          <w:lang w:val="en-GB" w:eastAsia="ko-KR"/>
        </w:rPr>
        <w:t xml:space="preserve"> Further details of group signalling solutions and the level of </w:t>
      </w:r>
      <w:r w:rsidRPr="00DE38D7">
        <w:rPr>
          <w:rFonts w:ascii="Calibri" w:eastAsia="Malgun Gothic" w:hAnsi="Calibri" w:cs="Batang"/>
          <w:b/>
          <w:bCs/>
          <w:lang w:val="en-GB" w:eastAsia="ko-KR"/>
        </w:rPr>
        <w:t>awareness of group mobility within the topology</w:t>
      </w:r>
      <w:r>
        <w:rPr>
          <w:rFonts w:ascii="Calibri" w:eastAsia="Malgun Gothic" w:hAnsi="Calibri" w:cs="Batang"/>
          <w:b/>
          <w:lang w:val="en-GB" w:eastAsia="ko-KR"/>
        </w:rPr>
        <w:t xml:space="preserve"> are FFS.</w:t>
      </w:r>
    </w:p>
    <w:p w14:paraId="3FDE320F" w14:textId="4774AE04" w:rsidR="000D25E8" w:rsidRPr="003B2F05" w:rsidRDefault="000D25E8" w:rsidP="000D25E8">
      <w:pPr>
        <w:rPr>
          <w:rFonts w:ascii="Calibri" w:eastAsia="Malgun Gothic" w:hAnsi="Calibri" w:cs="Batang"/>
          <w:b/>
          <w:lang w:val="en-GB" w:eastAsia="ko-KR"/>
        </w:rPr>
      </w:pPr>
    </w:p>
    <w:p w14:paraId="4A334E4D" w14:textId="77777777" w:rsidR="00B460A0" w:rsidRDefault="00B460A0" w:rsidP="00B460A0">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References</w:t>
      </w:r>
    </w:p>
    <w:p w14:paraId="428334F0" w14:textId="77777777" w:rsidR="00FB4A6D" w:rsidRDefault="00FB4A6D" w:rsidP="00FB4A6D">
      <w:pPr>
        <w:pStyle w:val="2222"/>
        <w:numPr>
          <w:ilvl w:val="0"/>
          <w:numId w:val="5"/>
        </w:numPr>
        <w:spacing w:after="120" w:line="288" w:lineRule="auto"/>
        <w:ind w:left="360" w:firstLineChars="0"/>
        <w:jc w:val="left"/>
        <w:rPr>
          <w:rFonts w:cs="Times New Roman"/>
          <w:lang w:eastAsia="ko-KR"/>
        </w:rPr>
      </w:pPr>
      <w:r w:rsidRPr="00FB7009">
        <w:rPr>
          <w:rFonts w:cs="Times New Roman"/>
          <w:lang w:eastAsia="ko-KR"/>
        </w:rPr>
        <w:t>R</w:t>
      </w:r>
      <w:r>
        <w:rPr>
          <w:rFonts w:cs="Times New Roman"/>
          <w:lang w:eastAsia="ko-KR"/>
        </w:rPr>
        <w:t xml:space="preserve">P-201293, </w:t>
      </w:r>
      <w:r w:rsidRPr="00BD7E46">
        <w:rPr>
          <w:rFonts w:cs="Times New Roman"/>
          <w:lang w:eastAsia="ko-KR"/>
        </w:rPr>
        <w:t>New WID on Enhancements to Integrated Access and Backhaul</w:t>
      </w:r>
      <w:r>
        <w:rPr>
          <w:rFonts w:cs="Times New Roman"/>
          <w:lang w:eastAsia="ko-KR"/>
        </w:rPr>
        <w:t xml:space="preserve">, Qualcomm </w:t>
      </w:r>
    </w:p>
    <w:p w14:paraId="28E20E61" w14:textId="6997917F" w:rsidR="00FB4A6D" w:rsidRDefault="00FB4A6D" w:rsidP="00FB4A6D">
      <w:pPr>
        <w:pStyle w:val="2222"/>
        <w:numPr>
          <w:ilvl w:val="0"/>
          <w:numId w:val="5"/>
        </w:numPr>
        <w:spacing w:after="120" w:line="288" w:lineRule="auto"/>
        <w:ind w:left="360" w:firstLineChars="0"/>
        <w:jc w:val="left"/>
        <w:rPr>
          <w:rFonts w:cs="Times New Roman"/>
          <w:lang w:eastAsia="ko-KR"/>
        </w:rPr>
      </w:pPr>
      <w:r>
        <w:rPr>
          <w:rFonts w:cs="Times New Roman"/>
          <w:lang w:eastAsia="ko-KR"/>
        </w:rPr>
        <w:t>R3-205466, Summary of Offline Discussion on Inter-donor Migration, Ericsson (Moderator)</w:t>
      </w:r>
    </w:p>
    <w:p w14:paraId="76B5A12E" w14:textId="55865A25" w:rsidR="00FB4A6D" w:rsidRDefault="00FB4A6D" w:rsidP="00FB4A6D">
      <w:pPr>
        <w:pStyle w:val="2222"/>
        <w:numPr>
          <w:ilvl w:val="0"/>
          <w:numId w:val="5"/>
        </w:numPr>
        <w:spacing w:after="120" w:line="288" w:lineRule="auto"/>
        <w:ind w:left="360" w:firstLineChars="0"/>
        <w:jc w:val="left"/>
        <w:rPr>
          <w:rFonts w:cs="Times New Roman"/>
          <w:lang w:eastAsia="ko-KR"/>
        </w:rPr>
      </w:pPr>
      <w:r>
        <w:rPr>
          <w:rFonts w:cs="Times New Roman"/>
          <w:lang w:eastAsia="ko-KR"/>
        </w:rPr>
        <w:t>R2-20</w:t>
      </w:r>
      <w:r w:rsidR="005262C1">
        <w:rPr>
          <w:rFonts w:cs="Times New Roman"/>
          <w:lang w:eastAsia="ko-KR"/>
        </w:rPr>
        <w:t>9292</w:t>
      </w:r>
      <w:r>
        <w:rPr>
          <w:rFonts w:cs="Times New Roman"/>
          <w:lang w:eastAsia="ko-KR"/>
        </w:rPr>
        <w:t xml:space="preserve">, </w:t>
      </w:r>
      <w:r w:rsidR="005262C1">
        <w:rPr>
          <w:rFonts w:cs="Times New Roman"/>
          <w:lang w:eastAsia="ko-KR"/>
        </w:rPr>
        <w:t>Report of email discussion on t</w:t>
      </w:r>
      <w:r>
        <w:rPr>
          <w:rFonts w:cs="Times New Roman"/>
          <w:lang w:eastAsia="ko-KR"/>
        </w:rPr>
        <w:t>opology adaptation enhancements RAN2 scope, Qualcomm Incorporated</w:t>
      </w:r>
    </w:p>
    <w:p w14:paraId="6966D1E7" w14:textId="5D55E01A" w:rsidR="00477F9F" w:rsidRPr="004131D6" w:rsidRDefault="00477F9F" w:rsidP="00C408C7">
      <w:pPr>
        <w:rPr>
          <w:rFonts w:ascii="Calibri" w:eastAsia="Malgun Gothic" w:hAnsi="Calibri" w:cs="Batang"/>
          <w:b/>
          <w:lang w:val="en-GB" w:eastAsia="ko-KR"/>
        </w:rPr>
      </w:pPr>
    </w:p>
    <w:sectPr w:rsidR="00477F9F" w:rsidRPr="004131D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7EE76" w14:textId="77777777" w:rsidR="00E83AA8" w:rsidRDefault="00E83AA8" w:rsidP="00424124">
      <w:pPr>
        <w:spacing w:before="0" w:after="0"/>
      </w:pPr>
      <w:r>
        <w:separator/>
      </w:r>
    </w:p>
  </w:endnote>
  <w:endnote w:type="continuationSeparator" w:id="0">
    <w:p w14:paraId="76EF8E71" w14:textId="77777777" w:rsidR="00E83AA8" w:rsidRDefault="00E83AA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2701A" w14:textId="77777777" w:rsidR="00E83AA8" w:rsidRDefault="00E83AA8" w:rsidP="00424124">
      <w:pPr>
        <w:spacing w:before="0" w:after="0"/>
      </w:pPr>
      <w:r>
        <w:separator/>
      </w:r>
    </w:p>
  </w:footnote>
  <w:footnote w:type="continuationSeparator" w:id="0">
    <w:p w14:paraId="4484B9CF" w14:textId="77777777" w:rsidR="00E83AA8" w:rsidRDefault="00E83AA8"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D1047"/>
    <w:multiLevelType w:val="hybridMultilevel"/>
    <w:tmpl w:val="46A21D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166510"/>
    <w:multiLevelType w:val="hybridMultilevel"/>
    <w:tmpl w:val="25FC8580"/>
    <w:lvl w:ilvl="0" w:tplc="A7D2BE0A">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16EC5"/>
    <w:multiLevelType w:val="hybridMultilevel"/>
    <w:tmpl w:val="AD2C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0409000F">
      <w:start w:val="1"/>
      <w:numFmt w:val="bullet"/>
      <w:pStyle w:val="Agreement"/>
      <w:lvlText w:val=""/>
      <w:lvlJc w:val="left"/>
      <w:pPr>
        <w:tabs>
          <w:tab w:val="num" w:pos="1080"/>
        </w:tabs>
        <w:ind w:left="1080" w:hanging="360"/>
      </w:pPr>
      <w:rPr>
        <w:rFonts w:ascii="Symbol" w:hAnsi="Symbol" w:hint="default"/>
        <w:b/>
        <w:i w:val="0"/>
        <w:color w:val="auto"/>
        <w:sz w:val="22"/>
      </w:rPr>
    </w:lvl>
    <w:lvl w:ilvl="1" w:tplc="D602B2F4">
      <w:start w:val="1"/>
      <w:numFmt w:val="bullet"/>
      <w:lvlText w:val="o"/>
      <w:lvlJc w:val="left"/>
      <w:pPr>
        <w:tabs>
          <w:tab w:val="num" w:pos="901"/>
        </w:tabs>
        <w:ind w:left="901" w:hanging="360"/>
      </w:pPr>
      <w:rPr>
        <w:rFonts w:ascii="Courier New" w:hAnsi="Courier New" w:cs="Courier New" w:hint="default"/>
      </w:rPr>
    </w:lvl>
    <w:lvl w:ilvl="2" w:tplc="0409001B">
      <w:start w:val="1"/>
      <w:numFmt w:val="bullet"/>
      <w:lvlText w:val=""/>
      <w:lvlJc w:val="left"/>
      <w:pPr>
        <w:tabs>
          <w:tab w:val="num" w:pos="1621"/>
        </w:tabs>
        <w:ind w:left="1621" w:hanging="360"/>
      </w:pPr>
      <w:rPr>
        <w:rFonts w:ascii="Wingdings" w:hAnsi="Wingdings" w:hint="default"/>
      </w:rPr>
    </w:lvl>
    <w:lvl w:ilvl="3" w:tplc="0409000F" w:tentative="1">
      <w:start w:val="1"/>
      <w:numFmt w:val="bullet"/>
      <w:lvlText w:val=""/>
      <w:lvlJc w:val="left"/>
      <w:pPr>
        <w:tabs>
          <w:tab w:val="num" w:pos="2341"/>
        </w:tabs>
        <w:ind w:left="2341" w:hanging="360"/>
      </w:pPr>
      <w:rPr>
        <w:rFonts w:ascii="Symbol" w:hAnsi="Symbol" w:hint="default"/>
      </w:rPr>
    </w:lvl>
    <w:lvl w:ilvl="4" w:tplc="04090019" w:tentative="1">
      <w:start w:val="1"/>
      <w:numFmt w:val="bullet"/>
      <w:lvlText w:val="o"/>
      <w:lvlJc w:val="left"/>
      <w:pPr>
        <w:tabs>
          <w:tab w:val="num" w:pos="3061"/>
        </w:tabs>
        <w:ind w:left="3061" w:hanging="360"/>
      </w:pPr>
      <w:rPr>
        <w:rFonts w:ascii="Courier New" w:hAnsi="Courier New" w:cs="Courier New" w:hint="default"/>
      </w:rPr>
    </w:lvl>
    <w:lvl w:ilvl="5" w:tplc="0409001B" w:tentative="1">
      <w:start w:val="1"/>
      <w:numFmt w:val="bullet"/>
      <w:lvlText w:val=""/>
      <w:lvlJc w:val="left"/>
      <w:pPr>
        <w:tabs>
          <w:tab w:val="num" w:pos="3781"/>
        </w:tabs>
        <w:ind w:left="3781" w:hanging="360"/>
      </w:pPr>
      <w:rPr>
        <w:rFonts w:ascii="Wingdings" w:hAnsi="Wingdings" w:hint="default"/>
      </w:rPr>
    </w:lvl>
    <w:lvl w:ilvl="6" w:tplc="0409000F" w:tentative="1">
      <w:start w:val="1"/>
      <w:numFmt w:val="bullet"/>
      <w:lvlText w:val=""/>
      <w:lvlJc w:val="left"/>
      <w:pPr>
        <w:tabs>
          <w:tab w:val="num" w:pos="4501"/>
        </w:tabs>
        <w:ind w:left="4501" w:hanging="360"/>
      </w:pPr>
      <w:rPr>
        <w:rFonts w:ascii="Symbol" w:hAnsi="Symbol" w:hint="default"/>
      </w:rPr>
    </w:lvl>
    <w:lvl w:ilvl="7" w:tplc="04090019" w:tentative="1">
      <w:start w:val="1"/>
      <w:numFmt w:val="bullet"/>
      <w:lvlText w:val="o"/>
      <w:lvlJc w:val="left"/>
      <w:pPr>
        <w:tabs>
          <w:tab w:val="num" w:pos="5221"/>
        </w:tabs>
        <w:ind w:left="5221" w:hanging="360"/>
      </w:pPr>
      <w:rPr>
        <w:rFonts w:ascii="Courier New" w:hAnsi="Courier New" w:cs="Courier New" w:hint="default"/>
      </w:rPr>
    </w:lvl>
    <w:lvl w:ilvl="8" w:tplc="0409001B"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8"/>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6"/>
  </w:num>
  <w:num w:numId="8">
    <w:abstractNumId w:val="16"/>
  </w:num>
  <w:num w:numId="9">
    <w:abstractNumId w:val="2"/>
  </w:num>
  <w:num w:numId="10">
    <w:abstractNumId w:val="3"/>
  </w:num>
  <w:num w:numId="11">
    <w:abstractNumId w:val="19"/>
  </w:num>
  <w:num w:numId="12">
    <w:abstractNumId w:val="10"/>
  </w:num>
  <w:num w:numId="13">
    <w:abstractNumId w:val="11"/>
  </w:num>
  <w:num w:numId="14">
    <w:abstractNumId w:val="26"/>
  </w:num>
  <w:num w:numId="15">
    <w:abstractNumId w:val="1"/>
  </w:num>
  <w:num w:numId="16">
    <w:abstractNumId w:val="23"/>
  </w:num>
  <w:num w:numId="17">
    <w:abstractNumId w:val="17"/>
  </w:num>
  <w:num w:numId="18">
    <w:abstractNumId w:val="14"/>
  </w:num>
  <w:num w:numId="19">
    <w:abstractNumId w:val="5"/>
  </w:num>
  <w:num w:numId="20">
    <w:abstractNumId w:val="24"/>
  </w:num>
  <w:num w:numId="21">
    <w:abstractNumId w:val="22"/>
  </w:num>
  <w:num w:numId="22">
    <w:abstractNumId w:val="25"/>
  </w:num>
  <w:num w:numId="23">
    <w:abstractNumId w:val="7"/>
  </w:num>
  <w:num w:numId="24">
    <w:abstractNumId w:val="21"/>
  </w:num>
  <w:num w:numId="25">
    <w:abstractNumId w:val="12"/>
  </w:num>
  <w:num w:numId="26">
    <w:abstractNumId w:val="22"/>
  </w:num>
  <w:num w:numId="27">
    <w:abstractNumId w:val="13"/>
  </w:num>
  <w:num w:numId="28">
    <w:abstractNumId w:val="9"/>
  </w:num>
  <w:num w:numId="29">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1BF8"/>
    <w:rsid w:val="0000421D"/>
    <w:rsid w:val="00004522"/>
    <w:rsid w:val="000052FF"/>
    <w:rsid w:val="00005D82"/>
    <w:rsid w:val="0001485D"/>
    <w:rsid w:val="000149EC"/>
    <w:rsid w:val="00020F1A"/>
    <w:rsid w:val="00024B67"/>
    <w:rsid w:val="00027A39"/>
    <w:rsid w:val="00032D47"/>
    <w:rsid w:val="000337FC"/>
    <w:rsid w:val="00042177"/>
    <w:rsid w:val="000440EF"/>
    <w:rsid w:val="00044947"/>
    <w:rsid w:val="000463E4"/>
    <w:rsid w:val="000470F3"/>
    <w:rsid w:val="00051B4B"/>
    <w:rsid w:val="00051EBB"/>
    <w:rsid w:val="0005289E"/>
    <w:rsid w:val="0005353F"/>
    <w:rsid w:val="000550BC"/>
    <w:rsid w:val="00057E9B"/>
    <w:rsid w:val="00061D16"/>
    <w:rsid w:val="000643FA"/>
    <w:rsid w:val="00070728"/>
    <w:rsid w:val="000730C9"/>
    <w:rsid w:val="00073B76"/>
    <w:rsid w:val="00074609"/>
    <w:rsid w:val="0007575F"/>
    <w:rsid w:val="00075B2C"/>
    <w:rsid w:val="00075FD1"/>
    <w:rsid w:val="00077712"/>
    <w:rsid w:val="0008364D"/>
    <w:rsid w:val="00085800"/>
    <w:rsid w:val="000865E3"/>
    <w:rsid w:val="0009041F"/>
    <w:rsid w:val="000917C5"/>
    <w:rsid w:val="00094DA3"/>
    <w:rsid w:val="00097DC6"/>
    <w:rsid w:val="000A36A9"/>
    <w:rsid w:val="000B0720"/>
    <w:rsid w:val="000B58AF"/>
    <w:rsid w:val="000B6D99"/>
    <w:rsid w:val="000C02B7"/>
    <w:rsid w:val="000C0533"/>
    <w:rsid w:val="000C05C0"/>
    <w:rsid w:val="000C21D0"/>
    <w:rsid w:val="000C57B9"/>
    <w:rsid w:val="000D176F"/>
    <w:rsid w:val="000D25E8"/>
    <w:rsid w:val="000D342A"/>
    <w:rsid w:val="000D38DC"/>
    <w:rsid w:val="000E2283"/>
    <w:rsid w:val="000E29D8"/>
    <w:rsid w:val="000E55D6"/>
    <w:rsid w:val="000E7524"/>
    <w:rsid w:val="000F259D"/>
    <w:rsid w:val="000F6CCA"/>
    <w:rsid w:val="0010303E"/>
    <w:rsid w:val="001119AB"/>
    <w:rsid w:val="0011327D"/>
    <w:rsid w:val="001139B2"/>
    <w:rsid w:val="00114145"/>
    <w:rsid w:val="0011588C"/>
    <w:rsid w:val="00116DA6"/>
    <w:rsid w:val="001279BC"/>
    <w:rsid w:val="00134C07"/>
    <w:rsid w:val="001356D6"/>
    <w:rsid w:val="00137E15"/>
    <w:rsid w:val="001417A8"/>
    <w:rsid w:val="00153793"/>
    <w:rsid w:val="001615F4"/>
    <w:rsid w:val="00162B42"/>
    <w:rsid w:val="00163ABC"/>
    <w:rsid w:val="00164A98"/>
    <w:rsid w:val="00172302"/>
    <w:rsid w:val="00172743"/>
    <w:rsid w:val="00175301"/>
    <w:rsid w:val="00184E81"/>
    <w:rsid w:val="001901AC"/>
    <w:rsid w:val="00190605"/>
    <w:rsid w:val="00196027"/>
    <w:rsid w:val="001A5A68"/>
    <w:rsid w:val="001A6212"/>
    <w:rsid w:val="001A75E0"/>
    <w:rsid w:val="001B1E40"/>
    <w:rsid w:val="001B2705"/>
    <w:rsid w:val="001B3B59"/>
    <w:rsid w:val="001B7305"/>
    <w:rsid w:val="001B731B"/>
    <w:rsid w:val="001C4ACE"/>
    <w:rsid w:val="001C699C"/>
    <w:rsid w:val="001D5128"/>
    <w:rsid w:val="001E0196"/>
    <w:rsid w:val="001E02F3"/>
    <w:rsid w:val="001E0CE1"/>
    <w:rsid w:val="001E404E"/>
    <w:rsid w:val="001E5602"/>
    <w:rsid w:val="001E58CC"/>
    <w:rsid w:val="001F02DD"/>
    <w:rsid w:val="001F2A01"/>
    <w:rsid w:val="001F59ED"/>
    <w:rsid w:val="002013B3"/>
    <w:rsid w:val="00201870"/>
    <w:rsid w:val="002042FF"/>
    <w:rsid w:val="00207678"/>
    <w:rsid w:val="00211D37"/>
    <w:rsid w:val="00212204"/>
    <w:rsid w:val="0021262A"/>
    <w:rsid w:val="00216763"/>
    <w:rsid w:val="0022193E"/>
    <w:rsid w:val="00222269"/>
    <w:rsid w:val="00222811"/>
    <w:rsid w:val="00222D3A"/>
    <w:rsid w:val="00225464"/>
    <w:rsid w:val="00233D70"/>
    <w:rsid w:val="00235373"/>
    <w:rsid w:val="00235F55"/>
    <w:rsid w:val="00240145"/>
    <w:rsid w:val="00240506"/>
    <w:rsid w:val="00242080"/>
    <w:rsid w:val="00246D61"/>
    <w:rsid w:val="00247511"/>
    <w:rsid w:val="0024786A"/>
    <w:rsid w:val="0025058B"/>
    <w:rsid w:val="00255E63"/>
    <w:rsid w:val="00262116"/>
    <w:rsid w:val="002641FE"/>
    <w:rsid w:val="00265254"/>
    <w:rsid w:val="00267362"/>
    <w:rsid w:val="002725E8"/>
    <w:rsid w:val="00272EC2"/>
    <w:rsid w:val="00273B2A"/>
    <w:rsid w:val="0027434B"/>
    <w:rsid w:val="00274677"/>
    <w:rsid w:val="00276785"/>
    <w:rsid w:val="00277973"/>
    <w:rsid w:val="00287D4D"/>
    <w:rsid w:val="0029112F"/>
    <w:rsid w:val="0029147A"/>
    <w:rsid w:val="00297225"/>
    <w:rsid w:val="002A005E"/>
    <w:rsid w:val="002A0270"/>
    <w:rsid w:val="002A66E2"/>
    <w:rsid w:val="002B5E19"/>
    <w:rsid w:val="002B6E52"/>
    <w:rsid w:val="002C0488"/>
    <w:rsid w:val="002C4097"/>
    <w:rsid w:val="002C594E"/>
    <w:rsid w:val="002D3D42"/>
    <w:rsid w:val="002D479B"/>
    <w:rsid w:val="002D6EC9"/>
    <w:rsid w:val="002D787B"/>
    <w:rsid w:val="002E188B"/>
    <w:rsid w:val="002E65B5"/>
    <w:rsid w:val="002F1C6C"/>
    <w:rsid w:val="002F2F26"/>
    <w:rsid w:val="002F4C25"/>
    <w:rsid w:val="00300129"/>
    <w:rsid w:val="00300475"/>
    <w:rsid w:val="003141F5"/>
    <w:rsid w:val="00314EA1"/>
    <w:rsid w:val="00315566"/>
    <w:rsid w:val="00315DC4"/>
    <w:rsid w:val="00317020"/>
    <w:rsid w:val="00320B4D"/>
    <w:rsid w:val="00326FF6"/>
    <w:rsid w:val="00327A22"/>
    <w:rsid w:val="00332BB8"/>
    <w:rsid w:val="00333C59"/>
    <w:rsid w:val="0033513A"/>
    <w:rsid w:val="00342130"/>
    <w:rsid w:val="00346605"/>
    <w:rsid w:val="00347824"/>
    <w:rsid w:val="0035318F"/>
    <w:rsid w:val="00354C01"/>
    <w:rsid w:val="00356F4E"/>
    <w:rsid w:val="0036306A"/>
    <w:rsid w:val="00365A78"/>
    <w:rsid w:val="00372594"/>
    <w:rsid w:val="00372651"/>
    <w:rsid w:val="003727DB"/>
    <w:rsid w:val="00385177"/>
    <w:rsid w:val="00386642"/>
    <w:rsid w:val="00392176"/>
    <w:rsid w:val="003921D6"/>
    <w:rsid w:val="003947DB"/>
    <w:rsid w:val="00397058"/>
    <w:rsid w:val="003A0594"/>
    <w:rsid w:val="003A298A"/>
    <w:rsid w:val="003A2CF2"/>
    <w:rsid w:val="003A3F9A"/>
    <w:rsid w:val="003A5288"/>
    <w:rsid w:val="003A553B"/>
    <w:rsid w:val="003A566A"/>
    <w:rsid w:val="003B1EC9"/>
    <w:rsid w:val="003B2F05"/>
    <w:rsid w:val="003B5456"/>
    <w:rsid w:val="003C2392"/>
    <w:rsid w:val="003C2E75"/>
    <w:rsid w:val="003C3250"/>
    <w:rsid w:val="003C7FBF"/>
    <w:rsid w:val="003E02B9"/>
    <w:rsid w:val="003E1304"/>
    <w:rsid w:val="003E35D4"/>
    <w:rsid w:val="003E7121"/>
    <w:rsid w:val="003F0731"/>
    <w:rsid w:val="003F33B4"/>
    <w:rsid w:val="004011AC"/>
    <w:rsid w:val="00402399"/>
    <w:rsid w:val="004043B6"/>
    <w:rsid w:val="00405F6D"/>
    <w:rsid w:val="004131D6"/>
    <w:rsid w:val="00424124"/>
    <w:rsid w:val="00431089"/>
    <w:rsid w:val="00434212"/>
    <w:rsid w:val="00440F6E"/>
    <w:rsid w:val="00443645"/>
    <w:rsid w:val="00443CD6"/>
    <w:rsid w:val="004552C9"/>
    <w:rsid w:val="004607AC"/>
    <w:rsid w:val="0046127E"/>
    <w:rsid w:val="00464389"/>
    <w:rsid w:val="00466E46"/>
    <w:rsid w:val="004678E1"/>
    <w:rsid w:val="00467BD4"/>
    <w:rsid w:val="004709B7"/>
    <w:rsid w:val="00473281"/>
    <w:rsid w:val="00473B68"/>
    <w:rsid w:val="00476836"/>
    <w:rsid w:val="00477F9F"/>
    <w:rsid w:val="0048301B"/>
    <w:rsid w:val="00491BD6"/>
    <w:rsid w:val="00494D73"/>
    <w:rsid w:val="004A5ABE"/>
    <w:rsid w:val="004A6424"/>
    <w:rsid w:val="004A69D0"/>
    <w:rsid w:val="004A6A82"/>
    <w:rsid w:val="004A7002"/>
    <w:rsid w:val="004A720A"/>
    <w:rsid w:val="004B15DB"/>
    <w:rsid w:val="004B19E9"/>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4E748E"/>
    <w:rsid w:val="005007E9"/>
    <w:rsid w:val="00501BE0"/>
    <w:rsid w:val="00504C05"/>
    <w:rsid w:val="00504E5F"/>
    <w:rsid w:val="005055A6"/>
    <w:rsid w:val="00507060"/>
    <w:rsid w:val="0051179B"/>
    <w:rsid w:val="00511874"/>
    <w:rsid w:val="00512838"/>
    <w:rsid w:val="005131F9"/>
    <w:rsid w:val="0051424F"/>
    <w:rsid w:val="00523623"/>
    <w:rsid w:val="005249A6"/>
    <w:rsid w:val="005262C1"/>
    <w:rsid w:val="005264EA"/>
    <w:rsid w:val="005300F0"/>
    <w:rsid w:val="00531213"/>
    <w:rsid w:val="005363F5"/>
    <w:rsid w:val="005373B7"/>
    <w:rsid w:val="00541819"/>
    <w:rsid w:val="0054560C"/>
    <w:rsid w:val="00545D5A"/>
    <w:rsid w:val="00545FD3"/>
    <w:rsid w:val="005508F9"/>
    <w:rsid w:val="0055464C"/>
    <w:rsid w:val="0056238B"/>
    <w:rsid w:val="00562645"/>
    <w:rsid w:val="00565BDB"/>
    <w:rsid w:val="005666A4"/>
    <w:rsid w:val="0057145F"/>
    <w:rsid w:val="005749E1"/>
    <w:rsid w:val="00575859"/>
    <w:rsid w:val="005758E7"/>
    <w:rsid w:val="005778C8"/>
    <w:rsid w:val="005802BD"/>
    <w:rsid w:val="0058120D"/>
    <w:rsid w:val="00582346"/>
    <w:rsid w:val="0058506A"/>
    <w:rsid w:val="00591190"/>
    <w:rsid w:val="00591208"/>
    <w:rsid w:val="0059771F"/>
    <w:rsid w:val="005A0577"/>
    <w:rsid w:val="005A18B4"/>
    <w:rsid w:val="005A60B4"/>
    <w:rsid w:val="005B47BD"/>
    <w:rsid w:val="005B69C2"/>
    <w:rsid w:val="005B6FA6"/>
    <w:rsid w:val="005C55D3"/>
    <w:rsid w:val="005D2C51"/>
    <w:rsid w:val="005D4F9E"/>
    <w:rsid w:val="005E5DCB"/>
    <w:rsid w:val="005E6EBD"/>
    <w:rsid w:val="005F21BF"/>
    <w:rsid w:val="005F3A08"/>
    <w:rsid w:val="005F613D"/>
    <w:rsid w:val="005F705D"/>
    <w:rsid w:val="00600F57"/>
    <w:rsid w:val="00603015"/>
    <w:rsid w:val="00604F3E"/>
    <w:rsid w:val="0060603E"/>
    <w:rsid w:val="00613926"/>
    <w:rsid w:val="00621955"/>
    <w:rsid w:val="00632789"/>
    <w:rsid w:val="00633934"/>
    <w:rsid w:val="00634707"/>
    <w:rsid w:val="00636F9E"/>
    <w:rsid w:val="006439F2"/>
    <w:rsid w:val="00644034"/>
    <w:rsid w:val="0064540A"/>
    <w:rsid w:val="006477B7"/>
    <w:rsid w:val="00652AC8"/>
    <w:rsid w:val="0065437E"/>
    <w:rsid w:val="0066013A"/>
    <w:rsid w:val="0066157D"/>
    <w:rsid w:val="00665936"/>
    <w:rsid w:val="006703A8"/>
    <w:rsid w:val="0067125A"/>
    <w:rsid w:val="00671898"/>
    <w:rsid w:val="00671E30"/>
    <w:rsid w:val="006756FB"/>
    <w:rsid w:val="00677BD0"/>
    <w:rsid w:val="00685B82"/>
    <w:rsid w:val="00685E11"/>
    <w:rsid w:val="0069705B"/>
    <w:rsid w:val="006A0EDC"/>
    <w:rsid w:val="006A18DB"/>
    <w:rsid w:val="006A1FFE"/>
    <w:rsid w:val="006A2D2E"/>
    <w:rsid w:val="006A48D3"/>
    <w:rsid w:val="006A63AC"/>
    <w:rsid w:val="006A685D"/>
    <w:rsid w:val="006A7067"/>
    <w:rsid w:val="006B05EC"/>
    <w:rsid w:val="006B67B9"/>
    <w:rsid w:val="006B6C31"/>
    <w:rsid w:val="006C0BAC"/>
    <w:rsid w:val="006C452E"/>
    <w:rsid w:val="006C6199"/>
    <w:rsid w:val="006C6366"/>
    <w:rsid w:val="006C7692"/>
    <w:rsid w:val="006D2F17"/>
    <w:rsid w:val="006D4856"/>
    <w:rsid w:val="006D6ABC"/>
    <w:rsid w:val="006E790B"/>
    <w:rsid w:val="006F055C"/>
    <w:rsid w:val="006F09F0"/>
    <w:rsid w:val="006F3E32"/>
    <w:rsid w:val="006F52D9"/>
    <w:rsid w:val="006F73F7"/>
    <w:rsid w:val="00702C40"/>
    <w:rsid w:val="00706685"/>
    <w:rsid w:val="00707438"/>
    <w:rsid w:val="00707D20"/>
    <w:rsid w:val="00710F58"/>
    <w:rsid w:val="00713175"/>
    <w:rsid w:val="00713382"/>
    <w:rsid w:val="00714B77"/>
    <w:rsid w:val="00714CA5"/>
    <w:rsid w:val="00721AD7"/>
    <w:rsid w:val="007225EF"/>
    <w:rsid w:val="00722BA6"/>
    <w:rsid w:val="00723DC5"/>
    <w:rsid w:val="00725C40"/>
    <w:rsid w:val="00726B84"/>
    <w:rsid w:val="00727595"/>
    <w:rsid w:val="00727952"/>
    <w:rsid w:val="007316AF"/>
    <w:rsid w:val="00733066"/>
    <w:rsid w:val="007338D6"/>
    <w:rsid w:val="00733EB9"/>
    <w:rsid w:val="00736776"/>
    <w:rsid w:val="00740B36"/>
    <w:rsid w:val="007416A2"/>
    <w:rsid w:val="00745452"/>
    <w:rsid w:val="00747A6F"/>
    <w:rsid w:val="00751FFA"/>
    <w:rsid w:val="0075276E"/>
    <w:rsid w:val="00753642"/>
    <w:rsid w:val="0075622F"/>
    <w:rsid w:val="0075669D"/>
    <w:rsid w:val="00757EA9"/>
    <w:rsid w:val="0076067D"/>
    <w:rsid w:val="00773844"/>
    <w:rsid w:val="00773B29"/>
    <w:rsid w:val="00782CDC"/>
    <w:rsid w:val="007839F9"/>
    <w:rsid w:val="00784079"/>
    <w:rsid w:val="00784132"/>
    <w:rsid w:val="00786229"/>
    <w:rsid w:val="0078708D"/>
    <w:rsid w:val="00787145"/>
    <w:rsid w:val="00791D57"/>
    <w:rsid w:val="007A0744"/>
    <w:rsid w:val="007A2765"/>
    <w:rsid w:val="007A65F1"/>
    <w:rsid w:val="007B13E5"/>
    <w:rsid w:val="007B2F6B"/>
    <w:rsid w:val="007B473A"/>
    <w:rsid w:val="007B4E79"/>
    <w:rsid w:val="007B6F7C"/>
    <w:rsid w:val="007C2993"/>
    <w:rsid w:val="007C4B85"/>
    <w:rsid w:val="007C6338"/>
    <w:rsid w:val="007C7CF2"/>
    <w:rsid w:val="007D0BB2"/>
    <w:rsid w:val="007D2C48"/>
    <w:rsid w:val="007E0AED"/>
    <w:rsid w:val="007E26FA"/>
    <w:rsid w:val="007E3546"/>
    <w:rsid w:val="007E52F3"/>
    <w:rsid w:val="007E546F"/>
    <w:rsid w:val="007F0AF3"/>
    <w:rsid w:val="007F1928"/>
    <w:rsid w:val="007F392E"/>
    <w:rsid w:val="00800F70"/>
    <w:rsid w:val="00802F47"/>
    <w:rsid w:val="00811A1B"/>
    <w:rsid w:val="00811FCD"/>
    <w:rsid w:val="00814815"/>
    <w:rsid w:val="00824DED"/>
    <w:rsid w:val="00826E5A"/>
    <w:rsid w:val="0083713D"/>
    <w:rsid w:val="00840540"/>
    <w:rsid w:val="008437B2"/>
    <w:rsid w:val="00843F1C"/>
    <w:rsid w:val="00850DCE"/>
    <w:rsid w:val="00853591"/>
    <w:rsid w:val="0085465A"/>
    <w:rsid w:val="00854FBB"/>
    <w:rsid w:val="0086373E"/>
    <w:rsid w:val="008661BA"/>
    <w:rsid w:val="008671A6"/>
    <w:rsid w:val="00870F0D"/>
    <w:rsid w:val="00871024"/>
    <w:rsid w:val="0087144B"/>
    <w:rsid w:val="00871CA8"/>
    <w:rsid w:val="00872D80"/>
    <w:rsid w:val="00872E80"/>
    <w:rsid w:val="008747AA"/>
    <w:rsid w:val="0087543D"/>
    <w:rsid w:val="00876446"/>
    <w:rsid w:val="00882DEE"/>
    <w:rsid w:val="00885004"/>
    <w:rsid w:val="00886940"/>
    <w:rsid w:val="00886B7B"/>
    <w:rsid w:val="00887AB4"/>
    <w:rsid w:val="00894290"/>
    <w:rsid w:val="008A25A1"/>
    <w:rsid w:val="008A3ABF"/>
    <w:rsid w:val="008A4A8B"/>
    <w:rsid w:val="008B39B6"/>
    <w:rsid w:val="008C1AFD"/>
    <w:rsid w:val="008C4B67"/>
    <w:rsid w:val="008D1AEF"/>
    <w:rsid w:val="008E48C2"/>
    <w:rsid w:val="008F0D8C"/>
    <w:rsid w:val="008F1BD1"/>
    <w:rsid w:val="008F2160"/>
    <w:rsid w:val="00901B67"/>
    <w:rsid w:val="00905E86"/>
    <w:rsid w:val="009124E4"/>
    <w:rsid w:val="009159CC"/>
    <w:rsid w:val="00917D0F"/>
    <w:rsid w:val="0092035A"/>
    <w:rsid w:val="009235BA"/>
    <w:rsid w:val="00924EA9"/>
    <w:rsid w:val="00925FA2"/>
    <w:rsid w:val="00926A9C"/>
    <w:rsid w:val="00927803"/>
    <w:rsid w:val="00931339"/>
    <w:rsid w:val="00933AFB"/>
    <w:rsid w:val="00940101"/>
    <w:rsid w:val="00940DAB"/>
    <w:rsid w:val="00940DDC"/>
    <w:rsid w:val="00941829"/>
    <w:rsid w:val="009445D2"/>
    <w:rsid w:val="009453B3"/>
    <w:rsid w:val="00954A35"/>
    <w:rsid w:val="009550DA"/>
    <w:rsid w:val="00957172"/>
    <w:rsid w:val="00957CD1"/>
    <w:rsid w:val="00960654"/>
    <w:rsid w:val="00961DB2"/>
    <w:rsid w:val="0097292F"/>
    <w:rsid w:val="009741D9"/>
    <w:rsid w:val="00974F3E"/>
    <w:rsid w:val="009750CC"/>
    <w:rsid w:val="00980746"/>
    <w:rsid w:val="00982CA4"/>
    <w:rsid w:val="00984235"/>
    <w:rsid w:val="00992432"/>
    <w:rsid w:val="00993D92"/>
    <w:rsid w:val="00995D90"/>
    <w:rsid w:val="009967BA"/>
    <w:rsid w:val="00997E4E"/>
    <w:rsid w:val="009A4D63"/>
    <w:rsid w:val="009A54FC"/>
    <w:rsid w:val="009B08C5"/>
    <w:rsid w:val="009B52C0"/>
    <w:rsid w:val="009B75E8"/>
    <w:rsid w:val="009C2167"/>
    <w:rsid w:val="009C21C2"/>
    <w:rsid w:val="009C4F8A"/>
    <w:rsid w:val="009D46C1"/>
    <w:rsid w:val="009D7145"/>
    <w:rsid w:val="009E0D02"/>
    <w:rsid w:val="009E4418"/>
    <w:rsid w:val="009E5838"/>
    <w:rsid w:val="00A0235E"/>
    <w:rsid w:val="00A02A54"/>
    <w:rsid w:val="00A04526"/>
    <w:rsid w:val="00A11704"/>
    <w:rsid w:val="00A11840"/>
    <w:rsid w:val="00A14282"/>
    <w:rsid w:val="00A16904"/>
    <w:rsid w:val="00A21D13"/>
    <w:rsid w:val="00A22671"/>
    <w:rsid w:val="00A22C61"/>
    <w:rsid w:val="00A262E4"/>
    <w:rsid w:val="00A26EC3"/>
    <w:rsid w:val="00A300E0"/>
    <w:rsid w:val="00A3158B"/>
    <w:rsid w:val="00A34F57"/>
    <w:rsid w:val="00A359C7"/>
    <w:rsid w:val="00A41CF3"/>
    <w:rsid w:val="00A44DA4"/>
    <w:rsid w:val="00A456B1"/>
    <w:rsid w:val="00A4674D"/>
    <w:rsid w:val="00A547CE"/>
    <w:rsid w:val="00A55FF3"/>
    <w:rsid w:val="00A603CE"/>
    <w:rsid w:val="00A605F1"/>
    <w:rsid w:val="00A61CB6"/>
    <w:rsid w:val="00A64CF7"/>
    <w:rsid w:val="00A672BA"/>
    <w:rsid w:val="00A7287B"/>
    <w:rsid w:val="00A72B33"/>
    <w:rsid w:val="00A821EA"/>
    <w:rsid w:val="00A8721E"/>
    <w:rsid w:val="00A92495"/>
    <w:rsid w:val="00A92669"/>
    <w:rsid w:val="00A97790"/>
    <w:rsid w:val="00AA12B3"/>
    <w:rsid w:val="00AA2AE1"/>
    <w:rsid w:val="00AA5160"/>
    <w:rsid w:val="00AA5899"/>
    <w:rsid w:val="00AB0589"/>
    <w:rsid w:val="00AB75A3"/>
    <w:rsid w:val="00AB7DFF"/>
    <w:rsid w:val="00AB7FC6"/>
    <w:rsid w:val="00AC05AE"/>
    <w:rsid w:val="00AD0F30"/>
    <w:rsid w:val="00AD115D"/>
    <w:rsid w:val="00AD16AE"/>
    <w:rsid w:val="00AD6C53"/>
    <w:rsid w:val="00AD7A71"/>
    <w:rsid w:val="00AE2672"/>
    <w:rsid w:val="00AE72F4"/>
    <w:rsid w:val="00AE7B02"/>
    <w:rsid w:val="00AE7CA4"/>
    <w:rsid w:val="00AF0A4B"/>
    <w:rsid w:val="00AF3BF2"/>
    <w:rsid w:val="00AF4BBC"/>
    <w:rsid w:val="00AF5875"/>
    <w:rsid w:val="00AF6428"/>
    <w:rsid w:val="00AF65DE"/>
    <w:rsid w:val="00AF733C"/>
    <w:rsid w:val="00AF7486"/>
    <w:rsid w:val="00AF755C"/>
    <w:rsid w:val="00B00828"/>
    <w:rsid w:val="00B01529"/>
    <w:rsid w:val="00B04278"/>
    <w:rsid w:val="00B12672"/>
    <w:rsid w:val="00B17406"/>
    <w:rsid w:val="00B21299"/>
    <w:rsid w:val="00B2434D"/>
    <w:rsid w:val="00B24D29"/>
    <w:rsid w:val="00B32216"/>
    <w:rsid w:val="00B3454C"/>
    <w:rsid w:val="00B34716"/>
    <w:rsid w:val="00B3707E"/>
    <w:rsid w:val="00B40DE1"/>
    <w:rsid w:val="00B460A0"/>
    <w:rsid w:val="00B50666"/>
    <w:rsid w:val="00B558D7"/>
    <w:rsid w:val="00B55FA2"/>
    <w:rsid w:val="00B61A13"/>
    <w:rsid w:val="00B6232D"/>
    <w:rsid w:val="00B648CA"/>
    <w:rsid w:val="00B714C9"/>
    <w:rsid w:val="00B74894"/>
    <w:rsid w:val="00B749FB"/>
    <w:rsid w:val="00B75FF7"/>
    <w:rsid w:val="00B82B83"/>
    <w:rsid w:val="00B83E07"/>
    <w:rsid w:val="00B909F7"/>
    <w:rsid w:val="00B927AF"/>
    <w:rsid w:val="00B94C68"/>
    <w:rsid w:val="00B968EB"/>
    <w:rsid w:val="00B96A24"/>
    <w:rsid w:val="00B96F87"/>
    <w:rsid w:val="00B974D0"/>
    <w:rsid w:val="00BA07D0"/>
    <w:rsid w:val="00BA677D"/>
    <w:rsid w:val="00BA6FDB"/>
    <w:rsid w:val="00BB02D4"/>
    <w:rsid w:val="00BB02ED"/>
    <w:rsid w:val="00BB3CBF"/>
    <w:rsid w:val="00BB5132"/>
    <w:rsid w:val="00BB6E66"/>
    <w:rsid w:val="00BB7EC5"/>
    <w:rsid w:val="00BC31F9"/>
    <w:rsid w:val="00BC6F83"/>
    <w:rsid w:val="00BC704C"/>
    <w:rsid w:val="00BD15E1"/>
    <w:rsid w:val="00BD2886"/>
    <w:rsid w:val="00BD34B4"/>
    <w:rsid w:val="00BD43CB"/>
    <w:rsid w:val="00BD7E46"/>
    <w:rsid w:val="00BE1C54"/>
    <w:rsid w:val="00BE26B4"/>
    <w:rsid w:val="00BF0257"/>
    <w:rsid w:val="00BF2C5D"/>
    <w:rsid w:val="00BF31E3"/>
    <w:rsid w:val="00BF3C49"/>
    <w:rsid w:val="00BF5F1C"/>
    <w:rsid w:val="00C04E8A"/>
    <w:rsid w:val="00C07731"/>
    <w:rsid w:val="00C07A15"/>
    <w:rsid w:val="00C11DC0"/>
    <w:rsid w:val="00C17E83"/>
    <w:rsid w:val="00C218A9"/>
    <w:rsid w:val="00C261F4"/>
    <w:rsid w:val="00C30C6F"/>
    <w:rsid w:val="00C33C53"/>
    <w:rsid w:val="00C408C7"/>
    <w:rsid w:val="00C40BE6"/>
    <w:rsid w:val="00C47EE0"/>
    <w:rsid w:val="00C5283A"/>
    <w:rsid w:val="00C530BC"/>
    <w:rsid w:val="00C534CA"/>
    <w:rsid w:val="00C55D8F"/>
    <w:rsid w:val="00C63006"/>
    <w:rsid w:val="00C67568"/>
    <w:rsid w:val="00C7007B"/>
    <w:rsid w:val="00C71871"/>
    <w:rsid w:val="00C724F1"/>
    <w:rsid w:val="00C735F1"/>
    <w:rsid w:val="00C76531"/>
    <w:rsid w:val="00C76B62"/>
    <w:rsid w:val="00C913B6"/>
    <w:rsid w:val="00C91C5E"/>
    <w:rsid w:val="00C92359"/>
    <w:rsid w:val="00C92E44"/>
    <w:rsid w:val="00CA6EA3"/>
    <w:rsid w:val="00CB15A7"/>
    <w:rsid w:val="00CB6D97"/>
    <w:rsid w:val="00CC09CE"/>
    <w:rsid w:val="00CC371F"/>
    <w:rsid w:val="00CD0E88"/>
    <w:rsid w:val="00CD7B54"/>
    <w:rsid w:val="00CE0C9D"/>
    <w:rsid w:val="00CE1FF5"/>
    <w:rsid w:val="00CE7B29"/>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C24"/>
    <w:rsid w:val="00D55FAB"/>
    <w:rsid w:val="00D56786"/>
    <w:rsid w:val="00D60542"/>
    <w:rsid w:val="00D61EAB"/>
    <w:rsid w:val="00D66A30"/>
    <w:rsid w:val="00D6706B"/>
    <w:rsid w:val="00D701D3"/>
    <w:rsid w:val="00D724F9"/>
    <w:rsid w:val="00D7445F"/>
    <w:rsid w:val="00D91E8D"/>
    <w:rsid w:val="00D92B1D"/>
    <w:rsid w:val="00D93FEB"/>
    <w:rsid w:val="00D941F9"/>
    <w:rsid w:val="00DB0323"/>
    <w:rsid w:val="00DB04CF"/>
    <w:rsid w:val="00DB1FA7"/>
    <w:rsid w:val="00DB3BF6"/>
    <w:rsid w:val="00DB3BFC"/>
    <w:rsid w:val="00DC0E31"/>
    <w:rsid w:val="00DC4FEF"/>
    <w:rsid w:val="00DC5659"/>
    <w:rsid w:val="00DC70D0"/>
    <w:rsid w:val="00DC7DD6"/>
    <w:rsid w:val="00DD3421"/>
    <w:rsid w:val="00DD3971"/>
    <w:rsid w:val="00DD663E"/>
    <w:rsid w:val="00DE2A3F"/>
    <w:rsid w:val="00DF5F45"/>
    <w:rsid w:val="00E035F3"/>
    <w:rsid w:val="00E03E65"/>
    <w:rsid w:val="00E0520F"/>
    <w:rsid w:val="00E06B55"/>
    <w:rsid w:val="00E07AD0"/>
    <w:rsid w:val="00E07DCB"/>
    <w:rsid w:val="00E13146"/>
    <w:rsid w:val="00E16C01"/>
    <w:rsid w:val="00E174FC"/>
    <w:rsid w:val="00E20070"/>
    <w:rsid w:val="00E20994"/>
    <w:rsid w:val="00E22124"/>
    <w:rsid w:val="00E24FE5"/>
    <w:rsid w:val="00E261AD"/>
    <w:rsid w:val="00E324C0"/>
    <w:rsid w:val="00E40344"/>
    <w:rsid w:val="00E40E4D"/>
    <w:rsid w:val="00E4377A"/>
    <w:rsid w:val="00E45042"/>
    <w:rsid w:val="00E46D61"/>
    <w:rsid w:val="00E54061"/>
    <w:rsid w:val="00E545F2"/>
    <w:rsid w:val="00E54CC6"/>
    <w:rsid w:val="00E56C7E"/>
    <w:rsid w:val="00E57082"/>
    <w:rsid w:val="00E576BD"/>
    <w:rsid w:val="00E57BE9"/>
    <w:rsid w:val="00E604D6"/>
    <w:rsid w:val="00E608AC"/>
    <w:rsid w:val="00E67086"/>
    <w:rsid w:val="00E70DD5"/>
    <w:rsid w:val="00E83AA8"/>
    <w:rsid w:val="00E857E4"/>
    <w:rsid w:val="00E85B05"/>
    <w:rsid w:val="00E905A5"/>
    <w:rsid w:val="00E9139D"/>
    <w:rsid w:val="00E92487"/>
    <w:rsid w:val="00E92812"/>
    <w:rsid w:val="00E92E84"/>
    <w:rsid w:val="00EA17FF"/>
    <w:rsid w:val="00EA26E5"/>
    <w:rsid w:val="00EA3B02"/>
    <w:rsid w:val="00EA524D"/>
    <w:rsid w:val="00EA5A59"/>
    <w:rsid w:val="00EA5BBD"/>
    <w:rsid w:val="00EA6213"/>
    <w:rsid w:val="00EB055B"/>
    <w:rsid w:val="00EB0C39"/>
    <w:rsid w:val="00EB3301"/>
    <w:rsid w:val="00EB34F1"/>
    <w:rsid w:val="00EB53F6"/>
    <w:rsid w:val="00EB588F"/>
    <w:rsid w:val="00ED0B05"/>
    <w:rsid w:val="00ED6624"/>
    <w:rsid w:val="00EE2068"/>
    <w:rsid w:val="00EE4A18"/>
    <w:rsid w:val="00EF1F69"/>
    <w:rsid w:val="00EF61D1"/>
    <w:rsid w:val="00F05333"/>
    <w:rsid w:val="00F07649"/>
    <w:rsid w:val="00F1311C"/>
    <w:rsid w:val="00F13A40"/>
    <w:rsid w:val="00F154D0"/>
    <w:rsid w:val="00F20DFF"/>
    <w:rsid w:val="00F22E8D"/>
    <w:rsid w:val="00F246F5"/>
    <w:rsid w:val="00F261D6"/>
    <w:rsid w:val="00F26D45"/>
    <w:rsid w:val="00F27804"/>
    <w:rsid w:val="00F30C84"/>
    <w:rsid w:val="00F3161F"/>
    <w:rsid w:val="00F35704"/>
    <w:rsid w:val="00F35911"/>
    <w:rsid w:val="00F35DD7"/>
    <w:rsid w:val="00F42D43"/>
    <w:rsid w:val="00F463C9"/>
    <w:rsid w:val="00F53ECE"/>
    <w:rsid w:val="00F57965"/>
    <w:rsid w:val="00F62702"/>
    <w:rsid w:val="00F62C88"/>
    <w:rsid w:val="00F71810"/>
    <w:rsid w:val="00F72ABE"/>
    <w:rsid w:val="00F72B1B"/>
    <w:rsid w:val="00F73816"/>
    <w:rsid w:val="00F73933"/>
    <w:rsid w:val="00F74796"/>
    <w:rsid w:val="00F752E4"/>
    <w:rsid w:val="00F7596C"/>
    <w:rsid w:val="00F75F2B"/>
    <w:rsid w:val="00F76733"/>
    <w:rsid w:val="00F76A86"/>
    <w:rsid w:val="00F77E12"/>
    <w:rsid w:val="00F8020B"/>
    <w:rsid w:val="00F814DE"/>
    <w:rsid w:val="00F82906"/>
    <w:rsid w:val="00F86EE6"/>
    <w:rsid w:val="00F90045"/>
    <w:rsid w:val="00F925FE"/>
    <w:rsid w:val="00F959A1"/>
    <w:rsid w:val="00F97F79"/>
    <w:rsid w:val="00FA0472"/>
    <w:rsid w:val="00FA2700"/>
    <w:rsid w:val="00FA28D1"/>
    <w:rsid w:val="00FA6558"/>
    <w:rsid w:val="00FB2665"/>
    <w:rsid w:val="00FB4A6D"/>
    <w:rsid w:val="00FC16C1"/>
    <w:rsid w:val="00FC3DE0"/>
    <w:rsid w:val="00FC56D8"/>
    <w:rsid w:val="00FC61FD"/>
    <w:rsid w:val="00FD09FC"/>
    <w:rsid w:val="00FD2C8C"/>
    <w:rsid w:val="00FD3BDF"/>
    <w:rsid w:val="00FD489B"/>
    <w:rsid w:val="00FD530D"/>
    <w:rsid w:val="00FD6F1A"/>
    <w:rsid w:val="00FD791D"/>
    <w:rsid w:val="00FE0217"/>
    <w:rsid w:val="00FE233E"/>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EB68FA"/>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nhideWhenUsed/>
    <w:rsid w:val="00AD115D"/>
    <w:pPr>
      <w:tabs>
        <w:tab w:val="center" w:pos="4680"/>
        <w:tab w:val="right" w:pos="9360"/>
      </w:tabs>
      <w:spacing w:before="0" w:after="0"/>
    </w:pPr>
  </w:style>
  <w:style w:type="character" w:customStyle="1" w:styleId="HeaderChar">
    <w:name w:val="Header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207678"/>
    <w:pPr>
      <w:numPr>
        <w:numId w:val="21"/>
      </w:numPr>
      <w:overflowPunct w:val="0"/>
      <w:autoSpaceDE w:val="0"/>
      <w:autoSpaceDN w:val="0"/>
      <w:adjustRightInd w:val="0"/>
      <w:spacing w:after="180"/>
      <w:jc w:val="left"/>
      <w:textAlignment w:val="baseline"/>
    </w:pPr>
    <w:rPr>
      <w:b/>
      <w:lang w:val="en-GB" w:eastAsia="ja-JP"/>
    </w:rPr>
  </w:style>
  <w:style w:type="paragraph" w:customStyle="1" w:styleId="TH">
    <w:name w:val="TH"/>
    <w:basedOn w:val="Normal"/>
    <w:rsid w:val="00562645"/>
    <w:pPr>
      <w:keepNext/>
      <w:keepLines/>
      <w:overflowPunct w:val="0"/>
      <w:autoSpaceDE w:val="0"/>
      <w:autoSpaceDN w:val="0"/>
      <w:adjustRightInd w:val="0"/>
      <w:spacing w:after="180"/>
      <w:jc w:val="center"/>
      <w:textAlignment w:val="baseline"/>
    </w:pPr>
    <w:rPr>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403379467">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18027819">
      <w:bodyDiv w:val="1"/>
      <w:marLeft w:val="0"/>
      <w:marRight w:val="0"/>
      <w:marTop w:val="0"/>
      <w:marBottom w:val="0"/>
      <w:divBdr>
        <w:top w:val="none" w:sz="0" w:space="0" w:color="auto"/>
        <w:left w:val="none" w:sz="0" w:space="0" w:color="auto"/>
        <w:bottom w:val="none" w:sz="0" w:space="0" w:color="auto"/>
        <w:right w:val="none" w:sz="0" w:space="0" w:color="auto"/>
      </w:divBdr>
      <w:divsChild>
        <w:div w:id="1512722078">
          <w:marLeft w:val="0"/>
          <w:marRight w:val="0"/>
          <w:marTop w:val="0"/>
          <w:marBottom w:val="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79286383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34309297">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05665732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04CAB-C3F2-4780-B8B7-297F27BE9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1833</Words>
  <Characters>10454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12263</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dc:creator>
  <cp:keywords/>
  <cp:lastModifiedBy>Milap Majmundar (AT&amp;T)</cp:lastModifiedBy>
  <cp:revision>8</cp:revision>
  <cp:lastPrinted>2018-09-28T20:14:00Z</cp:lastPrinted>
  <dcterms:created xsi:type="dcterms:W3CDTF">2020-10-22T19:06:00Z</dcterms:created>
  <dcterms:modified xsi:type="dcterms:W3CDTF">2020-10-22T22:09:00Z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